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Liftoff Mobile,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Michael Gosk</w:t>
              <w:br/>
              <w:t>c/o General Atlantic Service Company, LP, 55 East 52nd Street, 33rd Floor</w:t>
              <w:br/>
              <w:t>New York, NY, 10055</w:t>
              <w:br/>
              <w:t>(212) 715-4000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(SPV)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100,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(LFT),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Partners (Lux) SCSp</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III,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IV,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V, LLC</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pPr>
            <w:r>
              <w:rPr/>
              <w:t>1</w:t>
            </w:r>
          </w:p>
        </w:tc>
        <w:tc>
          <w:tcPr>
            <w:tcW w:w="7812"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Coinvestments CDA, L.P.</w:t>
            </w:r>
          </w:p>
        </w:tc>
      </w:tr>
      <w:tr>
        <w:trPr/>
        <w:tc>
          <w:tcPr>
            <w:tcW w:w="2393" w:type="dxa"/>
            <w:tcBorders/>
            <w:vAlign w:val="center"/>
          </w:tcPr>
          <w:p>
            <w:pPr>
              <w:pStyle w:val="TableContents"/>
              <w:bidi w:val="0"/>
              <w:spacing w:before="0" w:after="283"/>
              <w:jc w:val="left"/>
              <w:rPr/>
            </w:pPr>
            <w:r>
              <w:rPr/>
              <w:t>2</w:t>
            </w:r>
          </w:p>
        </w:tc>
        <w:tc>
          <w:tcPr>
            <w:tcW w:w="78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393" w:type="dxa"/>
            <w:tcBorders/>
            <w:vAlign w:val="center"/>
          </w:tcPr>
          <w:p>
            <w:pPr>
              <w:pStyle w:val="TableContents"/>
              <w:bidi w:val="0"/>
              <w:spacing w:before="0" w:after="283"/>
              <w:jc w:val="left"/>
              <w:rPr/>
            </w:pPr>
            <w:r>
              <w:rPr/>
              <w:t>3</w:t>
            </w:r>
          </w:p>
        </w:tc>
        <w:tc>
          <w:tcPr>
            <w:tcW w:w="7812" w:type="dxa"/>
            <w:tcBorders/>
            <w:vAlign w:val="center"/>
          </w:tcPr>
          <w:p>
            <w:pPr>
              <w:pStyle w:val="TableContents"/>
              <w:bidi w:val="0"/>
              <w:spacing w:before="0" w:after="283"/>
              <w:jc w:val="left"/>
              <w:rPr/>
            </w:pPr>
            <w:r>
              <w:rPr/>
              <w:t>SEC use only</w:t>
            </w:r>
          </w:p>
        </w:tc>
      </w:tr>
      <w:tr>
        <w:trPr/>
        <w:tc>
          <w:tcPr>
            <w:tcW w:w="2393" w:type="dxa"/>
            <w:tcBorders/>
            <w:vAlign w:val="center"/>
          </w:tcPr>
          <w:p>
            <w:pPr>
              <w:pStyle w:val="TableContents"/>
              <w:bidi w:val="0"/>
              <w:spacing w:before="0" w:after="283"/>
              <w:jc w:val="left"/>
              <w:rPr/>
            </w:pPr>
            <w:r>
              <w:rPr/>
              <w:t>4</w:t>
            </w:r>
          </w:p>
        </w:tc>
        <w:tc>
          <w:tcPr>
            <w:tcW w:w="7812"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3" w:type="dxa"/>
            <w:tcBorders/>
            <w:vAlign w:val="center"/>
          </w:tcPr>
          <w:p>
            <w:pPr>
              <w:pStyle w:val="TableContents"/>
              <w:bidi w:val="0"/>
              <w:spacing w:before="0" w:after="283"/>
              <w:jc w:val="left"/>
              <w:rPr/>
            </w:pPr>
            <w:r>
              <w:rPr/>
              <w:t>5</w:t>
            </w:r>
          </w:p>
        </w:tc>
        <w:tc>
          <w:tcPr>
            <w:tcW w:w="7812"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6</w:t>
            </w:r>
          </w:p>
        </w:tc>
        <w:tc>
          <w:tcPr>
            <w:tcW w:w="78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3"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vAlign w:val="center"/>
          </w:tcPr>
          <w:p>
            <w:pPr>
              <w:pStyle w:val="TableContents"/>
              <w:bidi w:val="0"/>
              <w:spacing w:before="0" w:after="283"/>
              <w:jc w:val="left"/>
              <w:rPr/>
            </w:pPr>
            <w:r>
              <w:rPr/>
              <w:t>11</w:t>
            </w:r>
          </w:p>
        </w:tc>
        <w:tc>
          <w:tcPr>
            <w:tcW w:w="78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3" w:type="dxa"/>
            <w:tcBorders/>
            <w:vAlign w:val="center"/>
          </w:tcPr>
          <w:p>
            <w:pPr>
              <w:pStyle w:val="TableContents"/>
              <w:bidi w:val="0"/>
              <w:spacing w:before="0" w:after="283"/>
              <w:jc w:val="left"/>
              <w:rPr/>
            </w:pPr>
            <w:r>
              <w:rPr/>
              <w:t>12</w:t>
            </w:r>
          </w:p>
        </w:tc>
        <w:tc>
          <w:tcPr>
            <w:tcW w:w="7812"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393" w:type="dxa"/>
            <w:tcBorders/>
            <w:vAlign w:val="center"/>
          </w:tcPr>
          <w:p>
            <w:pPr>
              <w:pStyle w:val="TableContents"/>
              <w:bidi w:val="0"/>
              <w:spacing w:before="0" w:after="283"/>
              <w:jc w:val="left"/>
              <w:rPr/>
            </w:pPr>
            <w:r>
              <w:rPr/>
              <w:t>13</w:t>
            </w:r>
          </w:p>
        </w:tc>
        <w:tc>
          <w:tcPr>
            <w:tcW w:w="7812"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3" w:type="dxa"/>
            <w:tcBorders/>
            <w:vAlign w:val="center"/>
          </w:tcPr>
          <w:p>
            <w:pPr>
              <w:pStyle w:val="TableContents"/>
              <w:bidi w:val="0"/>
              <w:spacing w:before="0" w:after="283"/>
              <w:jc w:val="left"/>
              <w:rPr/>
            </w:pPr>
            <w:r>
              <w:rPr/>
              <w:t>14</w:t>
            </w:r>
          </w:p>
        </w:tc>
        <w:tc>
          <w:tcPr>
            <w:tcW w:w="78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(Lux) SCSp</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74"/>
        <w:gridCol w:w="7831"/>
      </w:tblGrid>
      <w:tr>
        <w:trPr/>
        <w:tc>
          <w:tcPr>
            <w:tcW w:w="2374" w:type="dxa"/>
            <w:tcBorders/>
            <w:vAlign w:val="center"/>
          </w:tcPr>
          <w:p>
            <w:pPr>
              <w:pStyle w:val="TableContents"/>
              <w:bidi w:val="0"/>
              <w:spacing w:before="0" w:after="283"/>
              <w:jc w:val="left"/>
              <w:rPr/>
            </w:pPr>
            <w:r>
              <w:rPr/>
              <w:t>1</w:t>
            </w:r>
          </w:p>
        </w:tc>
        <w:tc>
          <w:tcPr>
            <w:tcW w:w="783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(Lux) S.a r.l.</w:t>
            </w:r>
          </w:p>
        </w:tc>
      </w:tr>
      <w:tr>
        <w:trPr/>
        <w:tc>
          <w:tcPr>
            <w:tcW w:w="2374" w:type="dxa"/>
            <w:tcBorders/>
            <w:vAlign w:val="center"/>
          </w:tcPr>
          <w:p>
            <w:pPr>
              <w:pStyle w:val="TableContents"/>
              <w:bidi w:val="0"/>
              <w:spacing w:before="0" w:after="283"/>
              <w:jc w:val="left"/>
              <w:rPr/>
            </w:pPr>
            <w:r>
              <w:rPr/>
              <w:t>2</w:t>
            </w:r>
          </w:p>
        </w:tc>
        <w:tc>
          <w:tcPr>
            <w:tcW w:w="783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374" w:type="dxa"/>
            <w:tcBorders/>
            <w:vAlign w:val="center"/>
          </w:tcPr>
          <w:p>
            <w:pPr>
              <w:pStyle w:val="TableContents"/>
              <w:bidi w:val="0"/>
              <w:spacing w:before="0" w:after="283"/>
              <w:jc w:val="left"/>
              <w:rPr/>
            </w:pPr>
            <w:r>
              <w:rPr/>
              <w:t>3</w:t>
            </w:r>
          </w:p>
        </w:tc>
        <w:tc>
          <w:tcPr>
            <w:tcW w:w="7831" w:type="dxa"/>
            <w:tcBorders/>
            <w:vAlign w:val="center"/>
          </w:tcPr>
          <w:p>
            <w:pPr>
              <w:pStyle w:val="TableContents"/>
              <w:bidi w:val="0"/>
              <w:spacing w:before="0" w:after="283"/>
              <w:jc w:val="left"/>
              <w:rPr/>
            </w:pPr>
            <w:r>
              <w:rPr/>
              <w:t>SEC use only</w:t>
            </w:r>
          </w:p>
        </w:tc>
      </w:tr>
      <w:tr>
        <w:trPr/>
        <w:tc>
          <w:tcPr>
            <w:tcW w:w="2374" w:type="dxa"/>
            <w:tcBorders/>
            <w:vAlign w:val="center"/>
          </w:tcPr>
          <w:p>
            <w:pPr>
              <w:pStyle w:val="TableContents"/>
              <w:bidi w:val="0"/>
              <w:spacing w:before="0" w:after="283"/>
              <w:jc w:val="left"/>
              <w:rPr/>
            </w:pPr>
            <w:r>
              <w:rPr/>
              <w:t>4</w:t>
            </w:r>
          </w:p>
        </w:tc>
        <w:tc>
          <w:tcPr>
            <w:tcW w:w="783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74" w:type="dxa"/>
            <w:tcBorders/>
            <w:vAlign w:val="center"/>
          </w:tcPr>
          <w:p>
            <w:pPr>
              <w:pStyle w:val="TableContents"/>
              <w:bidi w:val="0"/>
              <w:spacing w:before="0" w:after="283"/>
              <w:jc w:val="left"/>
              <w:rPr/>
            </w:pPr>
            <w:r>
              <w:rPr/>
              <w:t>5</w:t>
            </w:r>
          </w:p>
        </w:tc>
        <w:tc>
          <w:tcPr>
            <w:tcW w:w="783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6</w:t>
            </w:r>
          </w:p>
        </w:tc>
        <w:tc>
          <w:tcPr>
            <w:tcW w:w="783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37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31" w:type="dxa"/>
            <w:tcBorders/>
            <w:vAlign w:val="center"/>
          </w:tcPr>
          <w:p>
            <w:pPr>
              <w:pStyle w:val="TableContents"/>
              <w:bidi w:val="0"/>
              <w:spacing w:before="0" w:after="283"/>
              <w:jc w:val="left"/>
              <w:rPr>
                <w:sz w:val="4"/>
                <w:szCs w:val="4"/>
              </w:rPr>
            </w:pPr>
            <w:r>
              <w:rPr>
                <w:sz w:val="4"/>
                <w:szCs w:val="4"/>
              </w:rPr>
            </w:r>
          </w:p>
        </w:tc>
      </w:tr>
      <w:tr>
        <w:trPr/>
        <w:tc>
          <w:tcPr>
            <w:tcW w:w="2374" w:type="dxa"/>
            <w:tcBorders/>
            <w:vAlign w:val="center"/>
          </w:tcPr>
          <w:p>
            <w:pPr>
              <w:pStyle w:val="TableContents"/>
              <w:bidi w:val="0"/>
              <w:spacing w:before="0" w:after="283"/>
              <w:jc w:val="left"/>
              <w:rPr/>
            </w:pPr>
            <w:r>
              <w:rPr/>
              <w:t>11</w:t>
            </w:r>
          </w:p>
        </w:tc>
        <w:tc>
          <w:tcPr>
            <w:tcW w:w="783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74" w:type="dxa"/>
            <w:tcBorders/>
            <w:vAlign w:val="center"/>
          </w:tcPr>
          <w:p>
            <w:pPr>
              <w:pStyle w:val="TableContents"/>
              <w:bidi w:val="0"/>
              <w:spacing w:before="0" w:after="283"/>
              <w:jc w:val="left"/>
              <w:rPr/>
            </w:pPr>
            <w:r>
              <w:rPr/>
              <w:t>12</w:t>
            </w:r>
          </w:p>
        </w:tc>
        <w:tc>
          <w:tcPr>
            <w:tcW w:w="783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374" w:type="dxa"/>
            <w:tcBorders/>
            <w:vAlign w:val="center"/>
          </w:tcPr>
          <w:p>
            <w:pPr>
              <w:pStyle w:val="TableContents"/>
              <w:bidi w:val="0"/>
              <w:spacing w:before="0" w:after="283"/>
              <w:jc w:val="left"/>
              <w:rPr/>
            </w:pPr>
            <w:r>
              <w:rPr/>
              <w:t>13</w:t>
            </w:r>
          </w:p>
        </w:tc>
        <w:tc>
          <w:tcPr>
            <w:tcW w:w="783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74" w:type="dxa"/>
            <w:tcBorders/>
            <w:vAlign w:val="center"/>
          </w:tcPr>
          <w:p>
            <w:pPr>
              <w:pStyle w:val="TableContents"/>
              <w:bidi w:val="0"/>
              <w:spacing w:before="0" w:after="283"/>
              <w:jc w:val="left"/>
              <w:rPr/>
            </w:pPr>
            <w:r>
              <w:rPr/>
              <w:t>14</w:t>
            </w:r>
          </w:p>
        </w:tc>
        <w:tc>
          <w:tcPr>
            <w:tcW w:w="783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General Atlantic GenPar (Bermuda),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GAP (Bermuda)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25,315,646.00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25,315,646.00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25,315,646.00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item1to7"/>
      <w:bookmarkStart w:id="63" w:name="item1to7"/>
      <w:bookmarkEnd w:id="63"/>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Liftoff Mobile,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MIDDLEFIELD ROAD, REDWOOD CITY, CALIFORNIA , 94063.</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 (this "Statement") relates to the beneficial ownership of the Reporting Persons (defined below) of the common stock, par value $0.0001 per share (the "common stock") of Liftoff Mobile, Inc., a company incorporated in Delaware (the "Company"), whose principal executive offices are located at 900 Middlefield Road, Redwood City, CA 94063. The Reporting Persons were initially eligible to file a Schedule 13G under Rule 13d-1(d) of the Exchange Act. On June 5, 2026, the Reporting Persons acquired shares of the Company's common stock in connection with the Company's initial public offering (the "IPO"). These shares of common stock, together with all other acquisitions by the Reporting Persons of shares of common stock during the preceding twelve months, exceed 2 percent of the outstanding shares of common stock. Therefore, the Reporting Persons are no longer eligible to file a Schedule 13G under Rule 13d-1(d) and are now filing this Statement.</w:t>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This Statement is being filed by a "group," as defined in Rule 13d-5 of the General Rules and Regulations promulgated under the Exchange Act. The members of the group are: (i) General Atlantic, L.P., a Delaware limited partnership ("GA LP"); (ii) General Atlantic (SPV) GP, LLC, a Delaware limited liability corporation ("GA SPV"); (iii) General Atlantic Partners 100, L.P., a Delaware limited partnership ("GAP 100"); (iv) General Atlantic (LFT), L.P., a Delaware limited partnership ("GA LFT"); (v) General Atlantic Partners (Lux), SCSp, a Luxembourg special limited partnership ("GAP Lux"); (vi) General Atlantic GenPar, L.P., a Delaware limited partnership ("GA GenPar"); (vii) GAP Coinvestments III, LLC, a Delaware limited liability corporation ("GAPCO III"); (viii) GAP Coinvestments IV, LLC, a Delaware limited liability corporation ("GAPCO IV"); (ix) GAP Coinvestments V, LLC, a Delaware limited liability corporation ("GAPCO V"); (x) GAP Coinvestments CDA, L.P., a Delaware limited partnership ("GAPCO CDA"); (xi) General Atlantic GenPar (Lux), SCSp, a Luxembourg special limited partnership ("GA GenPar Lux"); (xii) General Atlantic (Lux) S.a r.l., a Luxembourg company ("GA Lux"); (xiii) General Atlantic GenPar (Bermuda), L.P., a Bermuda limited partnership ("GenPar Bermuda"); and (xiv) GAP (Bermuda) L.P., a Bermuda limited partnership ("GAP Bermuda"). Each of the foregoing is referred to as a Reporting Person and collectively as the "Reporting Persons." GAP 100 and GAP Lux are collectively referred to as the "GA Funds." GAPCO III, GAPCO IV, GAPCO V and GAPCO CDA are collectively referred to as the "Sponsor Coinvestment Funds." The address of GenPar Bermuda and GAP Bermuda is Clarendon House, 2 Church Street, Hamilton HM 11, Bermuda. The address of GAP Lux, GA GenPar Lux and GA Lux is 412F, Route d'Esch, L-1471 Luxembourg. The address of GAP 100, GA SPV, GA GenPar, GA LFT and GA LP and each of the Sponsor Coinvestment Funds is c/o General Atlantic Service Company, L.P., 55 East 52nd Street, 33rd Floor, New York, NY 10055. Each of the Reporting Persons is engaged in acquiring, holding and disposing of interests in various companies for investment purposes. The following investment funds share beneficial ownership of the common stock held of record by GA LFT: the GA Funds and the Sponsor Coinvestment Funds. The general partner of GAP 100 is GA GenPar. GA LP, which is controlled by the Partnership Committee of GASC MGP, LLC (the "Partnership Committee"), is the managing member of GAPCO III, GAPCO IV, and GAPCO V, the general partner of GAPCO CDA and GA GenPar, and is the sole member of GA SPV. The general partner of GA LFT is GA SPV. The general partner of GAP Lux is GA GenPar Lux, and the general partner of GA GenPar Lux is GA Lux. The sole shareholder of GA Lux is GenPar Bermuda. GAP Bermuda, which is ultimately controlled by the Partnership Committee, is the general partner of GenPar Bermuda. As of the date hereof, there are six members of the Partnership Committee. Each of the members of the Partnership Committee disclaims ownership of the shares except to the extent that he has a pecuniary interest therein. The information required by General Instruction C to Schedule 13D is attached hereto as Schedule A and is hereby incorporated by reference. The present principal occupation or employment of each of the members of the Partnership Committee is as a managing director of GA LP.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None of the Reporting Persons and none of the individuals listed on Schedule A have,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See Item 2(d).</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In connection with the pricing of the IPO on June 3, 2026, 425,000 shares of Series A Redeemable Convertible Preferred Stock of the Company held directly by GA LFT converted into 24,011,299 shares of common stock. In addition, GA LFT purchased 1,304,347 shares of common stock on June 5, 2026 at a price of $23.00 per share in the IPO. The funds to purchase the shares of common stock were obtained from contributions from the GA Funds and Sponsor Coinvestment Funds.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The Reporting Persons acquired the common stock reported herein for investment purposes. Consistent with such purposes, the Reporting Persons may engage in communications with, without limitation, one or more shareholders of the Company, management of the Company, one or more members of the board of directors of the Company, and may make suggestions concerning the Company's operations, prospects, business and financial strategies, strategic transactions, assets and liabilities, business and financing alternatives, the composition of the board of directors of the Company and such other matters as the Reporting Persons may deem relevant to their investment in the common stock. The Reporting Persons expect that they will, from time to time, review their investment position in the common stock or the Company and may, depending on the Company's performance and other market conditions, increase or decrease their investment position in the common stock. The Reporting Persons may, from time to time, make additional purchases of common stock either in the open market or in privately-negotiated transactions, depending upon the Reporting Persons' evaluation of the Company's business, prospects and financial condition, the market for the common stock, other opportunities available to the Reporting Persons, general economic conditions, stock market conditions and other factors. Depending upon the factors noted above, the Reporting Persons may also decide to hold or dispose of all or part of their investments in the common stock and/or enter into derivative transactions with institutional counterparties with respect to the Company's securities, including the common stock. Except as set forth in this Item 4 or Item 6 below, the Reporting Persons have no present plans or proposals that relate to, or that would result in, any of the actions specified in clauses (a) through (j) of Item 4 of Schedule 13D of the Exchange Act.</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0"/>
              <w:jc w:val="left"/>
              <w:rPr/>
            </w:pPr>
            <w:r>
              <w:rPr/>
              <w:t>The percentages used herein are calculated based on an aggregate of 169,330,527 shares of common stock reported by the Company to be outstanding as reflected in the Company's prospectus filed under Rule 424(b)(4) filed with the U.S. Securities and Exchange Commission (the "SEC") on June 4, 2026, after giving effect to the IPO (including the exercise in full of the underwriters' over-allotment option as announced by the Company on June 5, 2026). By virtue of the fact that (i) the GA Funds and the Sponsor Coinvestment Funds contributed the capital to fund the purchases, and share beneficial ownership of, the common stock held of record by GA LFT, (ii) the general partner of GA LFT is GA SPV, (iii) the general partner of GAP Lux is GA GenPar Lux, and the general partner of GA GenPar Lux is GA Lux., (iv) the sole shareholder of GA Lux is GenPar Bermuda, (v) GAP Lux has appointed Carne Global Fund Management (Luxembourg) S.A. (the "AIFM") as the alternative investment fund manager of GAP Lux pursuant to an alternative investment fund management agreement to undertake all functions required of an external alternative investment fund manager under the Luxembourg law of 12 July 2013 on alternative investment fund managers, as amended from time to time and GAP Lux has also entered into a delegated portfolio management and distribution agreement with the AIFM and GASC MGP, LLC ("GASC") in order to appoint GASC to act as the portfolio manager of GAP Lux, (vi) the general partner of GAP 100 is GA GenPar, and the general partner of GA GenPar is GA LP, (vii) GA LP, which is controlled by the Partnership Committee, is the managing member of GAPCO III, GAPCO IV, and GAPCO V, the general partner of GAPCO CDA, and is the sole member of GA SPV, (viii) GAP Bermuda, which is ultimately controlled by the Partnership Committee, is the general partner of GenPar Bermuda and (ix) GASC, with respect to GAP Lux, is controlled by the Partnership Committee, the Reporting Persons may be deemed to have the power to vote and direct the disposition of the common stock owned of record by GA LFT. As a result, as of the date hereof, each of the Reporting Persons may be deemed to beneficially own the shares of common stock indicated on row (11) on such Reporting Person's cover page included 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0"/>
              <w:jc w:val="left"/>
              <w:rPr/>
            </w:pPr>
            <w:r>
              <w:rPr/>
              <w:t>Each of the Reporting Persons has the shared power to vote or direct the vote and the shared power to dispose or to direct the disposition of the shares of common stock indicated on row (8) on such Reporting Person's cover page that may be deemed to be beneficially owned by each of them.</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0"/>
              <w:jc w:val="left"/>
              <w:rPr/>
            </w:pPr>
            <w:r>
              <w:rPr/>
              <w:t>Except as set forth in Item 3, or otherwise herein, to the knowledge of the Reporting Persons with respect to the persons named in response to Item 5(a), none of the persons named in response to Item 5(a) has effected any transactions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0"/>
              <w:jc w:val="left"/>
              <w:rPr/>
            </w:pPr>
            <w:r>
              <w:rPr/>
              <w:t>No person other than the persons listed is known to have the right to receive or the power to direct the receipt of dividends from, or the proceeds from the sale of, any securities owned by any member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Please see Item 5(a), which is hereby incorporated by reference. The GA Funds, the Sponsor Coinvestment Funds and the members of the Partnership Committee may, from time to time, consult among themselves and coordinate the voting and disposition of shares of common stock held of record by GA LFT as well as such other action taken on behalf of the Reporting Persons with respect to the common stock held by the Reporting Persons as they deem to be in the collective interest of the Reporting Persons. The Reporting Persons entered into a Joint Filing Agreement on June 12, 2026 (the "Joint Filing Agreement"), pursuant to which they have agreed to file this Statement jointly in accordance with the provisions of Rule 13d-1(k)(1) under the Exchange Act. A copy of the Joint Filing Agreement is attached hereto as Exhibit 1. In connection with the IPO, the Company, GA LFT and the other stockholders of the Company named therein entered into that certain Registration Rights Agreement (the "Registration Rights Agreement"), dated as of June 3, 2026. The Registration Rights Agreement grants the Reporting Persons certain customary demand registration and piggyback registration rights with respect to shares of common stock, in each case subject to the terms and conditions of the Registration Rights Agreement. The foregoing description of the Registration Rights Agreement does not purport to be complete and is qualified in its entirety by reference to the Registration Rights Agreement. A copy of the Registration Rights Agreement is filed as Exhibit 2 hereto and is incorporated herein by reference. In addition, GA LFT entered into a customary lock-up agreement with the underwriters in the IPO (the "Lock-Up Agreement"), pursuant to which it agreed, subject to specified exceptions, not to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whether now owned or hereinafter acquired, owned directly by GA LFT (including holding as a custodian) or with respect to which GA LFT has beneficial ownership within the rules and regulations of the SEC, for a period commencing on February 5, 2026 and ending 180 days after June 3, 2026, the date of the final prospectus with respect to the IPO. The foregoing description of the Lock-Up Agreement does not purport to be complete and is qualified in its entirety by reference to the Lock-Up Agreement. A copy of the Lock-Up Agreement is filed as Exhibit 3 hereto and is incorporated herein by reference. Further, in connection with the IPO, the Company and GA LFT entered into that certain Stockholders Agreement (the "Stockholders Agreement"), dated as of June 3, 2026. The Stockholders Agreement grants the Reporting Persons certain governance rights, including the right to designate one (1) individual as a director to the Company's board of directors if GA LP and its affiliates beneficially own at least 5% of the outstanding shares of common stock. In addition, if GA LP and its affiliates together beneficially own at least 2% of the outstanding shares of common stock, GA LP and its affiliates will have the right to appoint a non-voting observer to attend meetings of the Company's board of directors. Although General Atlantic may be permitted to designate a director pursuant to the foregoing provisions, there is no requirement that General Atlantic designate such director. Such director may be removed only with the consent of General Atlantic. General Atlantic has certain customary information rights pursuant to the Stockholders Agreement. The foregoing description of the Stockholders Agreement does not purport to be complete and is qualified in its entirety by reference to the Stockholders Agreement. A copy of the Stockholders Agreement is filed as Exhibit 4 hereto and is incorporated herein by reference. Except as described above, there are no contracts, arrangements, understandings or relationships (legal or otherwise) between the Reporting Persons or, to the best of their knowledge, any of the persons named in Schedule A hereto and any other person with respect to any securities of the Company, including, but not limited to, transfer or voting of any securities, finder's fees, joint ventures, loan or option arrangements, puts or calls, guarantees of profits, division of profits or losses,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Exhibit 1: Agreement relating to the filing of the joint acquisition statements as required by Rule 13d-1(k)(1) under the Exchange Act. Exhibit 2: Registration Rights Agreement between the Company and General Atlantic (LFT), L.P. and certain other shareholders of the Company party thereto, dated as of June 3, 2026 (incorporated by reference to exhibit 10.1 to the Company's Current Report on Form 8-K, filed with the SEC on June 8, 2026). Exhibit 3: Lock-Up Agreement between the Representatives named therein and General Atlantic (LFT), L.P., dated as of February 5, 2026. Exhibit 4: Stockholders Agreement between the Company and General Atlantic (LFT), L.P., dated as of June 3, 2026 (incorporated by reference to exhibit 10.3 to the Company's Current Report on Form 8-K, filed with the SEC on June 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signatureInfo"/>
      <w:bookmarkStart w:id="65" w:name="signatureInfo"/>
      <w:bookmarkEnd w:id="6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GENERAL ATLANTIC,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Michael Gosk</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Michael Gosk, Managing Director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General Atlantic (SPV) GP, LLC</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Gosk</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Gosk, Managing Director of General Atlantic, L.P., its sole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General Atlantic Partners 100,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Gosk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Gosk, Managing Director of General Atlantic, L.P., the general partner of General Atlantic GenPar, L.P., its general partner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General Atlantic (LFT),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Michael Gosk</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Michael Gosk, Managing Director of General Atlantic, L.P., the sole member of General Atlantic (SPV)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General Atlantic Partners (Lux) SCSp</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Ingrid van der Hoorn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Ingrid van der Hoorn, Manager A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Blackwell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William Blackwell, Manager B of General Atlantic (Lux) S.a r.l., the general partner of General Atlantic GenPar (Lux) SCSp,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16"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General Atlantic GenPar,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GAP Coinvestments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GAP Coinvestments IV,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GAP Coinvestments V,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General Atlantic, L.P., its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GAP Coinvestments CDA, L.P.</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9"/>
        <w:gridCol w:w="4396"/>
      </w:tblGrid>
      <w:tr>
        <w:trPr/>
        <w:tc>
          <w:tcPr>
            <w:tcW w:w="58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Gosk</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Gosk, Managing Director of General Atlantic, L.P., its general partner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96"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General Atlantic GenPar (Lux) SCSp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4"/>
        <w:gridCol w:w="4421"/>
      </w:tblGrid>
      <w:tr>
        <w:trPr/>
        <w:tc>
          <w:tcPr>
            <w:tcW w:w="57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Ingrid van der Hoorn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Ingrid van der Hoorn, Manager A of General Atlantic (Lux) S.a r.l.,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4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William Blackwell</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William Blackwell, Manager B of General Atlantic (Lux) S.a r.l., its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14" w:type="dxa"/>
            <w:tcBorders/>
            <w:vAlign w:val="center"/>
          </w:tcPr>
          <w:p>
            <w:pPr>
              <w:pStyle w:val="TableContents"/>
              <w:bidi w:val="0"/>
              <w:spacing w:before="0" w:after="283"/>
              <w:jc w:val="left"/>
              <w:rPr>
                <w:sz w:val="4"/>
                <w:szCs w:val="4"/>
              </w:rPr>
            </w:pPr>
            <w:r>
              <w:rPr>
                <w:sz w:val="4"/>
                <w:szCs w:val="4"/>
              </w:rPr>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General Atlantic (Lux) S.a r.l.</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8"/>
        <w:gridCol w:w="4447"/>
      </w:tblGrid>
      <w:tr>
        <w:trPr/>
        <w:tc>
          <w:tcPr>
            <w:tcW w:w="57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Ingrid van der Hoorn</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Ingrid van der Hoorn, Manager A</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4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William Blackwell</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William Blackwell, Manager B</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General Atlantic GenPar (Bermuda), L.P.</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Michael Gosk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Michael Gosk, Managing Director of GAP (Bermuda) GP Limited, the general partner of GAP (Bermuda) L.P., its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4642" w:type="dxa"/>
        <w:jc w:val="left"/>
        <w:tblInd w:w="0" w:type="dxa"/>
        <w:tblLayout w:type="fixed"/>
        <w:tblCellMar>
          <w:top w:w="28" w:type="dxa"/>
          <w:left w:w="28" w:type="dxa"/>
          <w:bottom w:w="28" w:type="dxa"/>
          <w:right w:w="28" w:type="dxa"/>
        </w:tblCellMar>
      </w:tblPr>
      <w:tblGrid>
        <w:gridCol w:w="2321"/>
        <w:gridCol w:w="2321"/>
      </w:tblGrid>
      <w:tr>
        <w:trPr/>
        <w:tc>
          <w:tcPr>
            <w:tcW w:w="2321" w:type="dxa"/>
            <w:tcBorders/>
            <w:vAlign w:val="center"/>
          </w:tcPr>
          <w:p>
            <w:pPr>
              <w:pStyle w:val="TableContents"/>
              <w:bidi w:val="0"/>
              <w:spacing w:before="0" w:after="0"/>
              <w:jc w:val="left"/>
              <w:rPr/>
            </w:pPr>
            <w:r>
              <w:rPr/>
              <w:t> </w:t>
            </w:r>
          </w:p>
          <w:tbl>
            <w:tblPr>
              <w:tblW w:w="2206" w:type="dxa"/>
              <w:jc w:val="left"/>
              <w:tblInd w:w="0" w:type="dxa"/>
              <w:tblLayout w:type="fixed"/>
              <w:tblCellMar>
                <w:top w:w="28" w:type="dxa"/>
                <w:left w:w="28" w:type="dxa"/>
                <w:bottom w:w="28" w:type="dxa"/>
                <w:right w:w="28" w:type="dxa"/>
              </w:tblCellMar>
            </w:tblPr>
            <w:tblGrid>
              <w:gridCol w:w="2206"/>
            </w:tblGrid>
            <w:tr>
              <w:trPr/>
              <w:tc>
                <w:tcPr>
                  <w:tcW w:w="2206" w:type="dxa"/>
                  <w:tcBorders/>
                  <w:vAlign w:val="center"/>
                </w:tcPr>
                <w:p>
                  <w:pPr>
                    <w:pStyle w:val="TableContents"/>
                    <w:bidi w:val="0"/>
                    <w:spacing w:before="0" w:after="0"/>
                    <w:jc w:val="left"/>
                    <w:rPr/>
                  </w:pPr>
                  <w:r>
                    <w:rPr/>
                    <w:t>GAP (Bermuda) L.P.</w:t>
                  </w:r>
                </w:p>
              </w:tc>
            </w:tr>
          </w:tbl>
          <w:p>
            <w:pPr>
              <w:pStyle w:val="TableContents"/>
              <w:bidi w:val="0"/>
              <w:spacing w:before="0" w:after="283"/>
              <w:jc w:val="left"/>
              <w:rPr/>
            </w:pPr>
            <w:r>
              <w:rPr/>
            </w:r>
          </w:p>
        </w:tc>
        <w:tc>
          <w:tcPr>
            <w:tcW w:w="23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Michael Gosk</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Michael Gosk, Managing Director of GAP (Bermuda) GP Limited,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06/12/2026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40"/>
        <w:ind w:left="60" w:right="60" w:hanging="0"/>
        <w:jc w:val="right"/>
        <w:rPr>
          <w:rFonts w:ascii="Times New Roman;Times;Serif" w:hAnsi="Times New Roman;Times;Serif"/>
          <w:b/>
          <w:i w:val="false"/>
          <w:caps w:val="false"/>
          <w:smallCaps w:val="false"/>
          <w:sz w:val="20"/>
        </w:rPr>
      </w:pPr>
      <w:bookmarkStart w:id="66" w:name="es260793552_scha.htm"/>
      <w:bookmarkStart w:id="67" w:name="kses260793552_scha"/>
      <w:bookmarkEnd w:id="66"/>
      <w:bookmarkEnd w:id="67"/>
      <w:r>
        <w:rPr>
          <w:rFonts w:ascii="Times New Roman;Times;Serif" w:hAnsi="Times New Roman;Times;Serif"/>
          <w:b/>
          <w:i w:val="false"/>
          <w:caps w:val="false"/>
          <w:smallCaps w:val="false"/>
          <w:sz w:val="20"/>
        </w:rPr>
        <w:t>SCHEDULE A</w:t>
      </w:r>
      <w:r>
        <w:br w:type="page"/>
      </w:r>
    </w:p>
    <w:p>
      <w:pPr>
        <w:pStyle w:val="TextBody"/>
        <w:bidi w:val="0"/>
        <w:spacing w:before="0" w:after="240"/>
        <w:ind w:left="270" w:right="26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 of the Partnership Committee (as of the date hereof)</w:t>
      </w:r>
    </w:p>
    <w:tbl>
      <w:tblPr>
        <w:tblW w:w="7920" w:type="dxa"/>
        <w:jc w:val="left"/>
        <w:tblInd w:w="-10" w:type="dxa"/>
        <w:tblLayout w:type="fixed"/>
        <w:tblCellMar>
          <w:top w:w="28" w:type="dxa"/>
          <w:left w:w="28" w:type="dxa"/>
          <w:bottom w:w="0" w:type="dxa"/>
          <w:right w:w="0" w:type="dxa"/>
        </w:tblCellMar>
      </w:tblPr>
      <w:tblGrid>
        <w:gridCol w:w="2075"/>
        <w:gridCol w:w="3425"/>
        <w:gridCol w:w="2420"/>
      </w:tblGrid>
      <w:tr>
        <w:trPr/>
        <w:tc>
          <w:tcPr>
            <w:tcW w:w="2075"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3425" w:type="dxa"/>
            <w:tcBorders>
              <w:top w:val="single" w:sz="8" w:space="0" w:color="000000"/>
              <w:lef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242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Citizenship</w:t>
            </w:r>
          </w:p>
        </w:tc>
      </w:tr>
      <w:tr>
        <w:trPr/>
        <w:tc>
          <w:tcPr>
            <w:tcW w:w="207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Ford</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342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Torbjorn Caesar</w:t>
            </w:r>
          </w:p>
        </w:tc>
        <w:tc>
          <w:tcPr>
            <w:tcW w:w="3425" w:type="dxa"/>
            <w:tcBorders>
              <w:top w:val="single" w:sz="8" w:space="0" w:color="000000"/>
              <w:left w:val="single" w:sz="8" w:space="0" w:color="000000"/>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Park, 29, Avenue de la Porte-Neuve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L-2227 Luxembourg</w:t>
            </w:r>
          </w:p>
        </w:tc>
        <w:tc>
          <w:tcPr>
            <w:tcW w:w="242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Sweden and United Kingdom</w:t>
            </w:r>
          </w:p>
        </w:tc>
      </w:tr>
      <w:tr>
        <w:trPr/>
        <w:tc>
          <w:tcPr>
            <w:tcW w:w="2075" w:type="dxa"/>
            <w:tcBorders>
              <w:top w:val="single" w:sz="8" w:space="0" w:color="000000"/>
              <w:left w:val="single" w:sz="8" w:space="0" w:color="000000"/>
            </w:tcBorders>
            <w:shd w:fill="C6F4F9"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 Caillaux</w:t>
            </w:r>
          </w:p>
        </w:tc>
        <w:tc>
          <w:tcPr>
            <w:tcW w:w="3425" w:type="dxa"/>
            <w:tcBorders>
              <w:top w:val="single" w:sz="8" w:space="0" w:color="000000"/>
              <w:left w:val="single" w:sz="8" w:space="0" w:color="000000"/>
            </w:tcBorders>
            <w:shd w:fill="C6F4F9"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Savile Row</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W1S 2ET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w:t>
            </w:r>
          </w:p>
        </w:tc>
        <w:tc>
          <w:tcPr>
            <w:tcW w:w="2420" w:type="dxa"/>
            <w:tcBorders>
              <w:top w:val="single" w:sz="8" w:space="0" w:color="000000"/>
              <w:left w:val="single" w:sz="8" w:space="0" w:color="000000"/>
              <w:right w:val="single" w:sz="8" w:space="0" w:color="000000"/>
            </w:tcBorders>
            <w:shd w:fill="C6F4F9"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w:t>
            </w:r>
          </w:p>
        </w:tc>
      </w:tr>
      <w:tr>
        <w:trPr/>
        <w:tc>
          <w:tcPr>
            <w:tcW w:w="2075" w:type="dxa"/>
            <w:tcBorders>
              <w:top w:val="single" w:sz="8" w:space="0" w:color="000000"/>
              <w:left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Martín Escobari</w:t>
            </w:r>
          </w:p>
        </w:tc>
        <w:tc>
          <w:tcPr>
            <w:tcW w:w="3425" w:type="dxa"/>
            <w:tcBorders>
              <w:top w:val="single" w:sz="8" w:space="0" w:color="000000"/>
              <w:left w:val="single" w:sz="8" w:space="0" w:color="000000"/>
            </w:tcBorders>
            <w:shd w:fill="FFFFFF" w:val="cle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Bolivia and Brazil</w:t>
            </w:r>
          </w:p>
        </w:tc>
      </w:tr>
      <w:tr>
        <w:trPr/>
        <w:tc>
          <w:tcPr>
            <w:tcW w:w="2075"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Hodgson</w:t>
            </w:r>
          </w:p>
        </w:tc>
        <w:tc>
          <w:tcPr>
            <w:tcW w:w="3425" w:type="dxa"/>
            <w:tcBorders>
              <w:top w:val="single" w:sz="8" w:space="0" w:color="000000"/>
              <w:left w:val="single" w:sz="8" w:space="0" w:color="000000"/>
              <w:bottom w:val="single" w:sz="8" w:space="0" w:color="000000"/>
            </w:tcBorders>
            <w:shd w:fill="C6F4F9" w:val="clear"/>
            <w:tcMar>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top w:val="single" w:sz="8" w:space="0" w:color="000000"/>
              <w:left w:val="single" w:sz="8" w:space="0" w:color="000000"/>
              <w:bottom w:val="single" w:sz="8" w:space="0" w:color="000000"/>
              <w:right w:val="single" w:sz="8" w:space="0" w:color="000000"/>
            </w:tcBorders>
            <w:shd w:fill="C6F4F9" w:val="clear"/>
            <w:tcMar>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r>
        <w:trPr/>
        <w:tc>
          <w:tcPr>
            <w:tcW w:w="2075" w:type="dxa"/>
            <w:tcBorders>
              <w:left w:val="single" w:sz="8" w:space="0" w:color="000000"/>
              <w:bottom w:val="single" w:sz="8" w:space="0" w:color="000000"/>
            </w:tcBorders>
            <w:shd w:fill="FFFFFF" w:val="clear"/>
            <w:tcMar>
              <w:top w:w="0" w:type="dxa"/>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Lanning</w:t>
            </w:r>
          </w:p>
        </w:tc>
        <w:tc>
          <w:tcPr>
            <w:tcW w:w="3425" w:type="dxa"/>
            <w:tcBorders>
              <w:left w:val="single" w:sz="8" w:space="0" w:color="000000"/>
              <w:bottom w:val="single" w:sz="8" w:space="0" w:color="000000"/>
            </w:tcBorders>
            <w:shd w:fill="FFFFFF" w:val="clear"/>
            <w:tcMar>
              <w:top w:w="0" w:type="dxa"/>
              <w:bottom w:w="28"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East 52nd Street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33rd Floor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10055</w:t>
            </w:r>
          </w:p>
        </w:tc>
        <w:tc>
          <w:tcPr>
            <w:tcW w:w="2420" w:type="dxa"/>
            <w:tcBorders>
              <w:left w:val="single" w:sz="8" w:space="0" w:color="000000"/>
              <w:bottom w:val="single" w:sz="8" w:space="0" w:color="000000"/>
              <w:right w:val="single" w:sz="8" w:space="0" w:color="000000"/>
            </w:tcBorders>
            <w:shd w:fill="FFFFFF" w:val="clear"/>
            <w:tcMar>
              <w:top w:w="0" w:type="dxa"/>
              <w:bottom w:w="28" w:type="dxa"/>
              <w:right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right"/>
        <w:rPr>
          <w:rFonts w:ascii="Times New Roman;Times;Serif" w:hAnsi="Times New Roman;Times;Serif"/>
          <w:b/>
          <w:i w:val="false"/>
          <w:caps w:val="false"/>
          <w:smallCaps w:val="false"/>
          <w:sz w:val="20"/>
        </w:rPr>
      </w:pPr>
      <w:bookmarkStart w:id="68" w:name="es260793552_ex01.htm"/>
      <w:bookmarkStart w:id="69" w:name="kses260793552_ex01"/>
      <w:bookmarkEnd w:id="68"/>
      <w:bookmarkEnd w:id="69"/>
      <w:r>
        <w:rPr>
          <w:rFonts w:ascii="Times New Roman;Times;Serif" w:hAnsi="Times New Roman;Times;Serif"/>
          <w:b/>
          <w:i w:val="false"/>
          <w:caps w:val="false"/>
          <w:smallCaps w:val="false"/>
          <w:sz w:val="20"/>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ACQUISITION STATEMENT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13D-1(k)(1)</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pStyle w:val="TextBody"/>
        <w:bidi w:val="0"/>
        <w:ind w:left="0" w:right="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June 12, 2026</w:t>
      </w:r>
    </w:p>
    <w:p>
      <w:pPr>
        <w:pStyle w:val="TextBody"/>
        <w:bidi w:val="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320"/>
        <w:gridCol w:w="545"/>
        <w:gridCol w:w="1565"/>
        <w:gridCol w:w="75"/>
      </w:tblGrid>
      <w:tr>
        <w:trPr/>
        <w:tc>
          <w:tcPr>
            <w:tcW w:w="75" w:type="dxa"/>
            <w:tcBorders/>
            <w:vAlign w:val="center"/>
          </w:tcPr>
          <w:p>
            <w:pPr>
              <w:pStyle w:val="TableContents"/>
              <w:bidi w:val="0"/>
              <w:spacing w:before="0" w:after="283"/>
              <w:jc w:val="left"/>
              <w:rPr/>
            </w:pPr>
            <w:r>
              <w:rPr/>
              <w:t> </w:t>
            </w:r>
          </w:p>
        </w:tc>
        <w:tc>
          <w:tcPr>
            <w:tcW w:w="2505" w:type="dxa"/>
            <w:gridSpan w:val="4"/>
            <w:tcBorders/>
            <w:vAlign w:val="center"/>
          </w:tcPr>
          <w:p>
            <w:pPr>
              <w:pStyle w:val="TableContents"/>
              <w:bidi w:val="0"/>
              <w:spacing w:before="0" w:after="283"/>
              <w:jc w:val="left"/>
              <w:rPr>
                <w:b/>
                <w:sz w:val="20"/>
              </w:rPr>
            </w:pPr>
            <w:r>
              <w:rPr>
                <w:b/>
                <w:sz w:val="20"/>
              </w:rPr>
              <w:t>GENERAL ATLANTIC, L.P.</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565"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565"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4319" w:type="dxa"/>
        <w:jc w:val="left"/>
        <w:tblInd w:w="0" w:type="dxa"/>
        <w:tblLayout w:type="fixed"/>
        <w:tblCellMar>
          <w:top w:w="0" w:type="dxa"/>
          <w:left w:w="0" w:type="dxa"/>
          <w:bottom w:w="0" w:type="dxa"/>
          <w:right w:w="0" w:type="dxa"/>
        </w:tblCellMar>
      </w:tblPr>
      <w:tblGrid>
        <w:gridCol w:w="75"/>
        <w:gridCol w:w="445"/>
        <w:gridCol w:w="962"/>
        <w:gridCol w:w="2762"/>
        <w:gridCol w:w="75"/>
      </w:tblGrid>
      <w:tr>
        <w:trPr/>
        <w:tc>
          <w:tcPr>
            <w:tcW w:w="75" w:type="dxa"/>
            <w:tcBorders/>
            <w:vAlign w:val="center"/>
          </w:tcPr>
          <w:p>
            <w:pPr>
              <w:pStyle w:val="TableContents"/>
              <w:bidi w:val="0"/>
              <w:spacing w:before="0" w:after="283"/>
              <w:jc w:val="left"/>
              <w:rPr/>
            </w:pPr>
            <w:r>
              <w:rPr/>
              <w:t> </w:t>
            </w:r>
          </w:p>
        </w:tc>
        <w:tc>
          <w:tcPr>
            <w:tcW w:w="4169" w:type="dxa"/>
            <w:gridSpan w:val="3"/>
            <w:tcBorders/>
            <w:vAlign w:val="center"/>
          </w:tcPr>
          <w:p>
            <w:pPr>
              <w:pStyle w:val="TableContents"/>
              <w:bidi w:val="0"/>
              <w:spacing w:before="0" w:after="283"/>
              <w:jc w:val="left"/>
              <w:rPr>
                <w:b/>
                <w:sz w:val="20"/>
              </w:rPr>
            </w:pPr>
            <w:r>
              <w:rPr>
                <w:b/>
                <w:sz w:val="20"/>
              </w:rPr>
              <w:t>GENERAL ATLANTIC (SPV) GP,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20"/>
              </w:rPr>
            </w:pPr>
            <w:r>
              <w:rPr>
                <w:sz w:val="20"/>
              </w:rPr>
              <w:t>By:</w:t>
            </w:r>
          </w:p>
        </w:tc>
        <w:tc>
          <w:tcPr>
            <w:tcW w:w="3724" w:type="dxa"/>
            <w:gridSpan w:val="2"/>
            <w:tcBorders/>
            <w:vAlign w:val="center"/>
          </w:tcPr>
          <w:p>
            <w:pPr>
              <w:pStyle w:val="TableContents"/>
              <w:bidi w:val="0"/>
              <w:spacing w:before="0" w:after="283"/>
              <w:jc w:val="left"/>
              <w:rPr>
                <w:sz w:val="20"/>
              </w:rPr>
            </w:pPr>
            <w:r>
              <w:rPr>
                <w:sz w:val="20"/>
              </w:rPr>
              <w:t xml:space="preserve">GENERAL ATLANTIC, L.P., its sole member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c>
          <w:tcPr>
            <w:tcW w:w="276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sz w:val="20"/>
              </w:rPr>
            </w:pPr>
            <w:r>
              <w:rPr>
                <w:sz w:val="20"/>
              </w:rPr>
              <w:t>By:</w:t>
            </w:r>
          </w:p>
        </w:tc>
        <w:tc>
          <w:tcPr>
            <w:tcW w:w="372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sz w:val="20"/>
              </w:rPr>
            </w:pPr>
            <w:r>
              <w:rPr>
                <w:sz w:val="20"/>
              </w:rPr>
              <w:t>Name:</w:t>
            </w:r>
          </w:p>
        </w:tc>
        <w:tc>
          <w:tcPr>
            <w:tcW w:w="2762"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sz w:val="20"/>
              </w:rPr>
            </w:pPr>
            <w:r>
              <w:rPr>
                <w:sz w:val="20"/>
              </w:rPr>
              <w:t>Title:</w:t>
            </w:r>
          </w:p>
        </w:tc>
        <w:tc>
          <w:tcPr>
            <w:tcW w:w="2762"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516"/>
        <w:gridCol w:w="1210"/>
        <w:gridCol w:w="3474"/>
        <w:gridCol w:w="75"/>
      </w:tblGrid>
      <w:tr>
        <w:trPr/>
        <w:tc>
          <w:tcPr>
            <w:tcW w:w="75" w:type="dxa"/>
            <w:tcBorders/>
            <w:vAlign w:val="center"/>
          </w:tcPr>
          <w:p>
            <w:pPr>
              <w:pStyle w:val="TableContents"/>
              <w:bidi w:val="0"/>
              <w:spacing w:before="0" w:after="283"/>
              <w:jc w:val="left"/>
              <w:rPr/>
            </w:pPr>
            <w:r>
              <w:rPr/>
              <w:t> </w:t>
            </w:r>
          </w:p>
        </w:tc>
        <w:tc>
          <w:tcPr>
            <w:tcW w:w="5200" w:type="dxa"/>
            <w:gridSpan w:val="3"/>
            <w:tcBorders/>
            <w:vAlign w:val="center"/>
          </w:tcPr>
          <w:p>
            <w:pPr>
              <w:pStyle w:val="TableContents"/>
              <w:bidi w:val="0"/>
              <w:spacing w:before="0" w:after="283"/>
              <w:jc w:val="left"/>
              <w:rPr>
                <w:b/>
                <w:sz w:val="20"/>
              </w:rPr>
            </w:pPr>
            <w:r>
              <w:rPr>
                <w:b/>
                <w:sz w:val="20"/>
              </w:rPr>
              <w:t>GENERAL ATLANTIC PARTNERS 100,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34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sz w:val="20"/>
              </w:rPr>
            </w:pPr>
            <w:r>
              <w:rPr>
                <w:sz w:val="20"/>
              </w:rPr>
              <w:t>By:</w:t>
            </w:r>
          </w:p>
        </w:tc>
        <w:tc>
          <w:tcPr>
            <w:tcW w:w="4684" w:type="dxa"/>
            <w:gridSpan w:val="2"/>
            <w:tcBorders/>
            <w:vAlign w:val="center"/>
          </w:tcPr>
          <w:p>
            <w:pPr>
              <w:pStyle w:val="TableContents"/>
              <w:bidi w:val="0"/>
              <w:spacing w:before="0" w:after="283"/>
              <w:jc w:val="left"/>
              <w:rPr>
                <w:sz w:val="20"/>
              </w:rPr>
            </w:pPr>
            <w:r>
              <w:rPr>
                <w:sz w:val="20"/>
              </w:rPr>
              <w:t>GENERAL ATLANTIC GENPAR, L.P.,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34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sz w:val="20"/>
              </w:rPr>
            </w:pPr>
            <w:r>
              <w:rPr>
                <w:sz w:val="20"/>
              </w:rPr>
              <w:t>By:</w:t>
            </w:r>
          </w:p>
        </w:tc>
        <w:tc>
          <w:tcPr>
            <w:tcW w:w="4684" w:type="dxa"/>
            <w:gridSpan w:val="2"/>
            <w:tcBorders/>
            <w:vAlign w:val="center"/>
          </w:tcPr>
          <w:p>
            <w:pPr>
              <w:pStyle w:val="TableContents"/>
              <w:bidi w:val="0"/>
              <w:spacing w:before="0" w:after="283"/>
              <w:jc w:val="left"/>
              <w:rPr>
                <w:sz w:val="20"/>
              </w:rPr>
            </w:pPr>
            <w:r>
              <w:rPr>
                <w:sz w:val="20"/>
              </w:rPr>
              <w:t>GENERAL ATLANTIC, L.P.,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34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sz w:val="20"/>
              </w:rPr>
            </w:pPr>
            <w:r>
              <w:rPr>
                <w:sz w:val="20"/>
              </w:rPr>
              <w:t>By:</w:t>
            </w:r>
          </w:p>
        </w:tc>
        <w:tc>
          <w:tcPr>
            <w:tcW w:w="468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sz w:val="20"/>
              </w:rPr>
            </w:pPr>
            <w:r>
              <w:rPr>
                <w:sz w:val="20"/>
              </w:rPr>
              <w:t>Name:</w:t>
            </w:r>
          </w:p>
        </w:tc>
        <w:tc>
          <w:tcPr>
            <w:tcW w:w="3474"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sz w:val="20"/>
              </w:rPr>
            </w:pPr>
            <w:r>
              <w:rPr>
                <w:sz w:val="20"/>
              </w:rPr>
              <w:t>Title:</w:t>
            </w:r>
          </w:p>
        </w:tc>
        <w:tc>
          <w:tcPr>
            <w:tcW w:w="3474"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323" w:type="dxa"/>
        <w:jc w:val="left"/>
        <w:tblInd w:w="0" w:type="dxa"/>
        <w:tblLayout w:type="fixed"/>
        <w:tblCellMar>
          <w:top w:w="0" w:type="dxa"/>
          <w:left w:w="0" w:type="dxa"/>
          <w:bottom w:w="0" w:type="dxa"/>
          <w:right w:w="0" w:type="dxa"/>
        </w:tblCellMar>
      </w:tblPr>
      <w:tblGrid>
        <w:gridCol w:w="75"/>
        <w:gridCol w:w="399"/>
        <w:gridCol w:w="1232"/>
        <w:gridCol w:w="3542"/>
        <w:gridCol w:w="75"/>
      </w:tblGrid>
      <w:tr>
        <w:trPr/>
        <w:tc>
          <w:tcPr>
            <w:tcW w:w="75" w:type="dxa"/>
            <w:tcBorders/>
            <w:vAlign w:val="center"/>
          </w:tcPr>
          <w:p>
            <w:pPr>
              <w:pStyle w:val="TableContents"/>
              <w:bidi w:val="0"/>
              <w:spacing w:before="0" w:after="283"/>
              <w:jc w:val="left"/>
              <w:rPr/>
            </w:pPr>
            <w:r>
              <w:rPr/>
              <w:t> </w:t>
            </w:r>
          </w:p>
        </w:tc>
        <w:tc>
          <w:tcPr>
            <w:tcW w:w="5173" w:type="dxa"/>
            <w:gridSpan w:val="3"/>
            <w:tcBorders/>
            <w:vAlign w:val="center"/>
          </w:tcPr>
          <w:p>
            <w:pPr>
              <w:pStyle w:val="TableContents"/>
              <w:bidi w:val="0"/>
              <w:spacing w:before="0" w:after="283"/>
              <w:jc w:val="left"/>
              <w:rPr>
                <w:b/>
                <w:sz w:val="20"/>
              </w:rPr>
            </w:pPr>
            <w:r>
              <w:rPr>
                <w:b/>
                <w:sz w:val="20"/>
              </w:rPr>
              <w:t>GENERAL ATLANTIC (LFT),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354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By:</w:t>
            </w:r>
          </w:p>
        </w:tc>
        <w:tc>
          <w:tcPr>
            <w:tcW w:w="4774" w:type="dxa"/>
            <w:gridSpan w:val="2"/>
            <w:tcBorders/>
            <w:vAlign w:val="center"/>
          </w:tcPr>
          <w:p>
            <w:pPr>
              <w:pStyle w:val="TableContents"/>
              <w:bidi w:val="0"/>
              <w:spacing w:before="0" w:after="283"/>
              <w:jc w:val="left"/>
              <w:rPr>
                <w:sz w:val="20"/>
              </w:rPr>
            </w:pPr>
            <w:r>
              <w:rPr>
                <w:sz w:val="20"/>
              </w:rPr>
              <w:t xml:space="preserve">GENERAL ATLANTIC (SPV) GP, LLC, its general partner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By:</w:t>
            </w:r>
          </w:p>
        </w:tc>
        <w:tc>
          <w:tcPr>
            <w:tcW w:w="4774" w:type="dxa"/>
            <w:gridSpan w:val="2"/>
            <w:tcBorders/>
            <w:vAlign w:val="center"/>
          </w:tcPr>
          <w:p>
            <w:pPr>
              <w:pStyle w:val="TableContents"/>
              <w:bidi w:val="0"/>
              <w:spacing w:before="0" w:after="283"/>
              <w:jc w:val="left"/>
              <w:rPr>
                <w:sz w:val="20"/>
              </w:rPr>
            </w:pPr>
            <w:r>
              <w:rPr>
                <w:sz w:val="20"/>
              </w:rPr>
              <w:t>GENERAL ATLANTIC, L.P., its sole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pPr>
            <w:r>
              <w:rPr/>
              <w:t> </w:t>
            </w:r>
          </w:p>
        </w:tc>
        <w:tc>
          <w:tcPr>
            <w:tcW w:w="354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sz w:val="20"/>
              </w:rPr>
            </w:pPr>
            <w:r>
              <w:rPr>
                <w:sz w:val="20"/>
              </w:rPr>
              <w:t>By:</w:t>
            </w:r>
          </w:p>
        </w:tc>
        <w:tc>
          <w:tcPr>
            <w:tcW w:w="477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sz w:val="20"/>
              </w:rPr>
            </w:pPr>
            <w:r>
              <w:rPr>
                <w:sz w:val="20"/>
              </w:rPr>
              <w:t>Name:</w:t>
            </w:r>
          </w:p>
        </w:tc>
        <w:tc>
          <w:tcPr>
            <w:tcW w:w="3542"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9"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left"/>
              <w:rPr>
                <w:sz w:val="20"/>
              </w:rPr>
            </w:pPr>
            <w:r>
              <w:rPr>
                <w:sz w:val="20"/>
              </w:rPr>
              <w:t>Title:</w:t>
            </w:r>
          </w:p>
        </w:tc>
        <w:tc>
          <w:tcPr>
            <w:tcW w:w="3542"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
        <w:gridCol w:w="525"/>
        <w:gridCol w:w="894"/>
        <w:gridCol w:w="2815"/>
        <w:gridCol w:w="75"/>
      </w:tblGrid>
      <w:tr>
        <w:trPr/>
        <w:tc>
          <w:tcPr>
            <w:tcW w:w="75" w:type="dxa"/>
            <w:tcBorders/>
            <w:vAlign w:val="center"/>
          </w:tcPr>
          <w:p>
            <w:pPr>
              <w:pStyle w:val="TableContents"/>
              <w:bidi w:val="0"/>
              <w:spacing w:before="0" w:after="283"/>
              <w:jc w:val="left"/>
              <w:rPr/>
            </w:pPr>
            <w:r>
              <w:rPr/>
              <w:t> </w:t>
            </w:r>
          </w:p>
        </w:tc>
        <w:tc>
          <w:tcPr>
            <w:tcW w:w="4234" w:type="dxa"/>
            <w:gridSpan w:val="3"/>
            <w:tcBorders/>
            <w:vAlign w:val="center"/>
          </w:tcPr>
          <w:p>
            <w:pPr>
              <w:pStyle w:val="TableContents"/>
              <w:bidi w:val="0"/>
              <w:spacing w:before="0" w:after="283"/>
              <w:jc w:val="left"/>
              <w:rPr>
                <w:b/>
                <w:sz w:val="20"/>
              </w:rPr>
            </w:pPr>
            <w:r>
              <w:rPr>
                <w:b/>
                <w:sz w:val="20"/>
              </w:rPr>
              <w:t>GENERAL ATLANTIC PARTNERS (LUX), SCSp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2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sz w:val="20"/>
              </w:rPr>
            </w:pPr>
            <w:r>
              <w:rPr>
                <w:sz w:val="20"/>
              </w:rPr>
              <w:t>By:</w:t>
            </w:r>
          </w:p>
        </w:tc>
        <w:tc>
          <w:tcPr>
            <w:tcW w:w="370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ATLANTIC (LUX)</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S.À R.L.,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370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sz w:val="20"/>
              </w:rPr>
            </w:pPr>
            <w:r>
              <w:rPr>
                <w:sz w:val="20"/>
              </w:rPr>
              <w:t>By:</w:t>
            </w:r>
          </w:p>
        </w:tc>
        <w:tc>
          <w:tcPr>
            <w:tcW w:w="3709"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ATLANTIC GenPar</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 SCSp,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2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sz w:val="20"/>
              </w:rPr>
            </w:pPr>
            <w:r>
              <w:rPr>
                <w:sz w:val="20"/>
              </w:rPr>
              <w:t>By:</w:t>
            </w:r>
          </w:p>
        </w:tc>
        <w:tc>
          <w:tcPr>
            <w:tcW w:w="370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Ingrid van der Hoorn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Name:</w:t>
            </w:r>
          </w:p>
        </w:tc>
        <w:tc>
          <w:tcPr>
            <w:tcW w:w="2815" w:type="dxa"/>
            <w:tcBorders/>
            <w:vAlign w:val="center"/>
          </w:tcPr>
          <w:p>
            <w:pPr>
              <w:pStyle w:val="TableContents"/>
              <w:bidi w:val="0"/>
              <w:spacing w:before="0" w:after="283"/>
              <w:jc w:val="left"/>
              <w:rPr>
                <w:sz w:val="20"/>
              </w:rPr>
            </w:pPr>
            <w:r>
              <w:rPr>
                <w:sz w:val="20"/>
              </w:rPr>
              <w:t>Ingrid van der Hoorn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Title:</w:t>
            </w:r>
          </w:p>
        </w:tc>
        <w:tc>
          <w:tcPr>
            <w:tcW w:w="2815" w:type="dxa"/>
            <w:tcBorders/>
            <w:vAlign w:val="center"/>
          </w:tcPr>
          <w:p>
            <w:pPr>
              <w:pStyle w:val="TableContents"/>
              <w:bidi w:val="0"/>
              <w:spacing w:before="0" w:after="283"/>
              <w:jc w:val="left"/>
              <w:rPr>
                <w:sz w:val="20"/>
              </w:rPr>
            </w:pPr>
            <w:r>
              <w:rPr>
                <w:sz w:val="20"/>
              </w:rPr>
              <w:t>Manager 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pPr>
            <w:r>
              <w:rPr/>
              <w:t> </w:t>
            </w:r>
          </w:p>
        </w:tc>
        <w:tc>
          <w:tcPr>
            <w:tcW w:w="28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sz w:val="20"/>
              </w:rPr>
            </w:pPr>
            <w:r>
              <w:rPr>
                <w:sz w:val="20"/>
              </w:rPr>
              <w:t>By:</w:t>
            </w:r>
          </w:p>
        </w:tc>
        <w:tc>
          <w:tcPr>
            <w:tcW w:w="370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William Blackwell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Name:</w:t>
            </w:r>
          </w:p>
        </w:tc>
        <w:tc>
          <w:tcPr>
            <w:tcW w:w="2815" w:type="dxa"/>
            <w:tcBorders/>
            <w:vAlign w:val="center"/>
          </w:tcPr>
          <w:p>
            <w:pPr>
              <w:pStyle w:val="TableContents"/>
              <w:bidi w:val="0"/>
              <w:spacing w:before="0" w:after="283"/>
              <w:jc w:val="left"/>
              <w:rPr>
                <w:sz w:val="20"/>
              </w:rPr>
            </w:pPr>
            <w:r>
              <w:rPr>
                <w:sz w:val="20"/>
              </w:rPr>
              <w:t>William Blackwell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283"/>
              <w:jc w:val="left"/>
              <w:rPr>
                <w:sz w:val="20"/>
              </w:rPr>
            </w:pPr>
            <w:r>
              <w:rPr>
                <w:sz w:val="20"/>
              </w:rPr>
              <w:t>Title:</w:t>
            </w:r>
          </w:p>
        </w:tc>
        <w:tc>
          <w:tcPr>
            <w:tcW w:w="2815" w:type="dxa"/>
            <w:tcBorders/>
            <w:vAlign w:val="center"/>
          </w:tcPr>
          <w:p>
            <w:pPr>
              <w:pStyle w:val="TableContents"/>
              <w:bidi w:val="0"/>
              <w:spacing w:before="0" w:after="283"/>
              <w:jc w:val="left"/>
              <w:rPr>
                <w:sz w:val="20"/>
              </w:rPr>
            </w:pPr>
            <w:r>
              <w:rPr>
                <w:sz w:val="20"/>
              </w:rPr>
              <w:t>Manager B</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463" w:type="dxa"/>
        <w:jc w:val="left"/>
        <w:tblInd w:w="0" w:type="dxa"/>
        <w:tblLayout w:type="fixed"/>
        <w:tblCellMar>
          <w:top w:w="0" w:type="dxa"/>
          <w:left w:w="0" w:type="dxa"/>
          <w:bottom w:w="0" w:type="dxa"/>
          <w:right w:w="0" w:type="dxa"/>
        </w:tblCellMar>
      </w:tblPr>
      <w:tblGrid>
        <w:gridCol w:w="75"/>
        <w:gridCol w:w="439"/>
        <w:gridCol w:w="1000"/>
        <w:gridCol w:w="2874"/>
        <w:gridCol w:w="75"/>
      </w:tblGrid>
      <w:tr>
        <w:trPr/>
        <w:tc>
          <w:tcPr>
            <w:tcW w:w="75" w:type="dxa"/>
            <w:tcBorders/>
            <w:vAlign w:val="center"/>
          </w:tcPr>
          <w:p>
            <w:pPr>
              <w:pStyle w:val="TableContents"/>
              <w:bidi w:val="0"/>
              <w:spacing w:before="0" w:after="283"/>
              <w:jc w:val="left"/>
              <w:rPr/>
            </w:pPr>
            <w:r>
              <w:rPr/>
              <w:t> </w:t>
            </w:r>
          </w:p>
        </w:tc>
        <w:tc>
          <w:tcPr>
            <w:tcW w:w="4313" w:type="dxa"/>
            <w:gridSpan w:val="3"/>
            <w:tcBorders/>
            <w:vAlign w:val="center"/>
          </w:tcPr>
          <w:p>
            <w:pPr>
              <w:pStyle w:val="TableContents"/>
              <w:bidi w:val="0"/>
              <w:spacing w:before="0" w:after="283"/>
              <w:jc w:val="left"/>
              <w:rPr>
                <w:b/>
                <w:sz w:val="20"/>
              </w:rPr>
            </w:pPr>
            <w:r>
              <w:rPr>
                <w:b/>
                <w:sz w:val="20"/>
              </w:rPr>
              <w:t>GENERAL ATLANTIC GENPAR,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13"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sz w:val="20"/>
              </w:rPr>
            </w:pPr>
            <w:r>
              <w:rPr>
                <w:sz w:val="20"/>
              </w:rPr>
              <w:t>By:</w:t>
            </w:r>
          </w:p>
        </w:tc>
        <w:tc>
          <w:tcPr>
            <w:tcW w:w="3874" w:type="dxa"/>
            <w:gridSpan w:val="2"/>
            <w:tcBorders/>
            <w:vAlign w:val="center"/>
          </w:tcPr>
          <w:p>
            <w:pPr>
              <w:pStyle w:val="TableContents"/>
              <w:bidi w:val="0"/>
              <w:spacing w:before="0" w:after="283"/>
              <w:jc w:val="left"/>
              <w:rPr>
                <w:sz w:val="20"/>
              </w:rPr>
            </w:pPr>
            <w:r>
              <w:rPr>
                <w:sz w:val="20"/>
              </w:rPr>
              <w:t>GENERAL ATLANTIC, L.P.,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sz w:val="20"/>
              </w:rPr>
            </w:pPr>
            <w:r>
              <w:rPr>
                <w:sz w:val="20"/>
              </w:rPr>
              <w:t>By:</w:t>
            </w:r>
          </w:p>
        </w:tc>
        <w:tc>
          <w:tcPr>
            <w:tcW w:w="387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sz w:val="20"/>
              </w:rPr>
            </w:pPr>
            <w:r>
              <w:rPr>
                <w:sz w:val="20"/>
              </w:rPr>
              <w:t>Name:</w:t>
            </w:r>
          </w:p>
        </w:tc>
        <w:tc>
          <w:tcPr>
            <w:tcW w:w="2874"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left"/>
              <w:rPr>
                <w:sz w:val="20"/>
              </w:rPr>
            </w:pPr>
            <w:r>
              <w:rPr>
                <w:sz w:val="20"/>
              </w:rPr>
              <w:t>Title:</w:t>
            </w:r>
          </w:p>
        </w:tc>
        <w:tc>
          <w:tcPr>
            <w:tcW w:w="2874"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792" w:type="dxa"/>
        <w:jc w:val="left"/>
        <w:tblInd w:w="0" w:type="dxa"/>
        <w:tblLayout w:type="fixed"/>
        <w:tblCellMar>
          <w:top w:w="0" w:type="dxa"/>
          <w:left w:w="0" w:type="dxa"/>
          <w:bottom w:w="0" w:type="dxa"/>
          <w:right w:w="0" w:type="dxa"/>
        </w:tblCellMar>
      </w:tblPr>
      <w:tblGrid>
        <w:gridCol w:w="75"/>
        <w:gridCol w:w="438"/>
        <w:gridCol w:w="1086"/>
        <w:gridCol w:w="3118"/>
        <w:gridCol w:w="75"/>
      </w:tblGrid>
      <w:tr>
        <w:trPr/>
        <w:tc>
          <w:tcPr>
            <w:tcW w:w="75" w:type="dxa"/>
            <w:tcBorders/>
            <w:vAlign w:val="center"/>
          </w:tcPr>
          <w:p>
            <w:pPr>
              <w:pStyle w:val="TableContents"/>
              <w:bidi w:val="0"/>
              <w:spacing w:before="0" w:after="283"/>
              <w:jc w:val="left"/>
              <w:rPr/>
            </w:pPr>
            <w:r>
              <w:rPr/>
              <w:t> </w:t>
            </w:r>
          </w:p>
        </w:tc>
        <w:tc>
          <w:tcPr>
            <w:tcW w:w="4642" w:type="dxa"/>
            <w:gridSpan w:val="3"/>
            <w:tcBorders/>
            <w:vAlign w:val="center"/>
          </w:tcPr>
          <w:p>
            <w:pPr>
              <w:pStyle w:val="TableContents"/>
              <w:bidi w:val="0"/>
              <w:spacing w:before="0" w:after="283"/>
              <w:jc w:val="left"/>
              <w:rPr>
                <w:b/>
                <w:sz w:val="20"/>
              </w:rPr>
            </w:pPr>
            <w:r>
              <w:rPr>
                <w:b/>
                <w:sz w:val="20"/>
              </w:rPr>
              <w:t xml:space="preserve">GAP COINVESTMENTS III,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 xml:space="preserve">By: </w:t>
            </w:r>
          </w:p>
        </w:tc>
        <w:tc>
          <w:tcPr>
            <w:tcW w:w="4204" w:type="dxa"/>
            <w:gridSpan w:val="2"/>
            <w:tcBorders/>
            <w:vAlign w:val="center"/>
          </w:tcPr>
          <w:p>
            <w:pPr>
              <w:pStyle w:val="TableContents"/>
              <w:bidi w:val="0"/>
              <w:spacing w:before="0" w:after="283"/>
              <w:jc w:val="left"/>
              <w:rPr>
                <w:sz w:val="20"/>
              </w:rPr>
            </w:pPr>
            <w:r>
              <w:rPr>
                <w:sz w:val="20"/>
              </w:rPr>
              <w:t xml:space="preserve">GENERAL ATLANTIC, L.P., its managing member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sz w:val="20"/>
              </w:rPr>
            </w:pPr>
            <w:r>
              <w:rPr>
                <w:sz w:val="20"/>
              </w:rPr>
              <w:t>By:</w:t>
            </w:r>
          </w:p>
        </w:tc>
        <w:tc>
          <w:tcPr>
            <w:tcW w:w="420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sz w:val="20"/>
              </w:rPr>
            </w:pPr>
            <w:r>
              <w:rPr>
                <w:sz w:val="20"/>
              </w:rPr>
              <w:t>Name:</w:t>
            </w:r>
          </w:p>
        </w:tc>
        <w:tc>
          <w:tcPr>
            <w:tcW w:w="3118"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sz w:val="20"/>
              </w:rPr>
            </w:pPr>
            <w:r>
              <w:rPr>
                <w:sz w:val="20"/>
              </w:rPr>
              <w:t>Title:</w:t>
            </w:r>
          </w:p>
        </w:tc>
        <w:tc>
          <w:tcPr>
            <w:tcW w:w="31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75"/>
        <w:gridCol w:w="436"/>
        <w:gridCol w:w="1085"/>
        <w:gridCol w:w="3119"/>
        <w:gridCol w:w="75"/>
      </w:tblGrid>
      <w:tr>
        <w:trPr/>
        <w:tc>
          <w:tcPr>
            <w:tcW w:w="75" w:type="dxa"/>
            <w:tcBorders/>
            <w:vAlign w:val="center"/>
          </w:tcPr>
          <w:p>
            <w:pPr>
              <w:pStyle w:val="TableContents"/>
              <w:bidi w:val="0"/>
              <w:spacing w:before="0" w:after="283"/>
              <w:jc w:val="left"/>
              <w:rPr/>
            </w:pPr>
            <w:r>
              <w:rPr/>
              <w:t> </w:t>
            </w:r>
          </w:p>
        </w:tc>
        <w:tc>
          <w:tcPr>
            <w:tcW w:w="4640" w:type="dxa"/>
            <w:gridSpan w:val="3"/>
            <w:tcBorders/>
            <w:vAlign w:val="center"/>
          </w:tcPr>
          <w:p>
            <w:pPr>
              <w:pStyle w:val="TableContents"/>
              <w:bidi w:val="0"/>
              <w:spacing w:before="0" w:after="283"/>
              <w:jc w:val="left"/>
              <w:rPr>
                <w:b/>
                <w:sz w:val="20"/>
              </w:rPr>
            </w:pPr>
            <w:r>
              <w:rPr>
                <w:b/>
                <w:sz w:val="20"/>
              </w:rPr>
              <w:t xml:space="preserve">GAP COINVESTMENTS IV,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 xml:space="preserve">By: </w:t>
            </w:r>
          </w:p>
        </w:tc>
        <w:tc>
          <w:tcPr>
            <w:tcW w:w="4204" w:type="dxa"/>
            <w:gridSpan w:val="2"/>
            <w:tcBorders/>
            <w:vAlign w:val="center"/>
          </w:tcPr>
          <w:p>
            <w:pPr>
              <w:pStyle w:val="TableContents"/>
              <w:bidi w:val="0"/>
              <w:spacing w:before="0" w:after="283"/>
              <w:jc w:val="left"/>
              <w:rPr>
                <w:sz w:val="20"/>
              </w:rPr>
            </w:pPr>
            <w:r>
              <w:rPr>
                <w:sz w:val="20"/>
              </w:rPr>
              <w:t xml:space="preserve">GENERAL ATLANTIC, L.P., its managing member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3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By:</w:t>
            </w:r>
          </w:p>
        </w:tc>
        <w:tc>
          <w:tcPr>
            <w:tcW w:w="420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Name:</w:t>
            </w:r>
          </w:p>
        </w:tc>
        <w:tc>
          <w:tcPr>
            <w:tcW w:w="3119"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sz w:val="20"/>
              </w:rPr>
            </w:pPr>
            <w:r>
              <w:rPr>
                <w:sz w:val="20"/>
              </w:rPr>
              <w:t>Title:</w:t>
            </w:r>
          </w:p>
        </w:tc>
        <w:tc>
          <w:tcPr>
            <w:tcW w:w="3119"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8" w:type="dxa"/>
        <w:jc w:val="left"/>
        <w:tblInd w:w="0" w:type="dxa"/>
        <w:tblLayout w:type="fixed"/>
        <w:tblCellMar>
          <w:top w:w="0" w:type="dxa"/>
          <w:left w:w="0" w:type="dxa"/>
          <w:bottom w:w="0" w:type="dxa"/>
          <w:right w:w="0" w:type="dxa"/>
        </w:tblCellMar>
      </w:tblPr>
      <w:tblGrid>
        <w:gridCol w:w="75"/>
        <w:gridCol w:w="379"/>
        <w:gridCol w:w="1074"/>
        <w:gridCol w:w="3085"/>
        <w:gridCol w:w="75"/>
      </w:tblGrid>
      <w:tr>
        <w:trPr/>
        <w:tc>
          <w:tcPr>
            <w:tcW w:w="75" w:type="dxa"/>
            <w:tcBorders/>
            <w:vAlign w:val="center"/>
          </w:tcPr>
          <w:p>
            <w:pPr>
              <w:pStyle w:val="TableContents"/>
              <w:bidi w:val="0"/>
              <w:spacing w:before="0" w:after="283"/>
              <w:jc w:val="left"/>
              <w:rPr/>
            </w:pPr>
            <w:r>
              <w:rPr/>
              <w:t> </w:t>
            </w:r>
          </w:p>
        </w:tc>
        <w:tc>
          <w:tcPr>
            <w:tcW w:w="4538" w:type="dxa"/>
            <w:gridSpan w:val="3"/>
            <w:tcBorders/>
            <w:vAlign w:val="center"/>
          </w:tcPr>
          <w:p>
            <w:pPr>
              <w:pStyle w:val="TableContents"/>
              <w:bidi w:val="0"/>
              <w:spacing w:before="0" w:after="283"/>
              <w:jc w:val="left"/>
              <w:rPr>
                <w:b/>
                <w:sz w:val="20"/>
              </w:rPr>
            </w:pPr>
            <w:r>
              <w:rPr>
                <w:b/>
                <w:sz w:val="20"/>
              </w:rPr>
              <w:t xml:space="preserve">GAP COINVESTMENTS V, LLC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20"/>
              </w:rPr>
            </w:pPr>
            <w:r>
              <w:rPr>
                <w:sz w:val="20"/>
              </w:rPr>
              <w:t>By:</w:t>
            </w:r>
          </w:p>
        </w:tc>
        <w:tc>
          <w:tcPr>
            <w:tcW w:w="4159" w:type="dxa"/>
            <w:gridSpan w:val="2"/>
            <w:tcBorders/>
            <w:vAlign w:val="center"/>
          </w:tcPr>
          <w:p>
            <w:pPr>
              <w:pStyle w:val="TableContents"/>
              <w:bidi w:val="0"/>
              <w:spacing w:before="0" w:after="283"/>
              <w:jc w:val="left"/>
              <w:rPr>
                <w:sz w:val="20"/>
              </w:rPr>
            </w:pPr>
            <w:r>
              <w:rPr>
                <w:sz w:val="20"/>
              </w:rPr>
              <w:t>GENERAL ATLANTIC, L.P., 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sz w:val="20"/>
              </w:rPr>
            </w:pPr>
            <w:r>
              <w:rPr>
                <w:sz w:val="20"/>
              </w:rPr>
              <w:t>By:</w:t>
            </w:r>
          </w:p>
        </w:tc>
        <w:tc>
          <w:tcPr>
            <w:tcW w:w="415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sz w:val="20"/>
              </w:rPr>
            </w:pPr>
            <w:r>
              <w:rPr>
                <w:sz w:val="20"/>
              </w:rPr>
              <w:t>Name:</w:t>
            </w:r>
          </w:p>
        </w:tc>
        <w:tc>
          <w:tcPr>
            <w:tcW w:w="3085"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9"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sz w:val="20"/>
              </w:rPr>
            </w:pPr>
            <w:r>
              <w:rPr>
                <w:sz w:val="20"/>
              </w:rPr>
              <w:t>Title:</w:t>
            </w:r>
          </w:p>
        </w:tc>
        <w:tc>
          <w:tcPr>
            <w:tcW w:w="3085"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75"/>
        <w:gridCol w:w="401"/>
        <w:gridCol w:w="950"/>
        <w:gridCol w:w="2729"/>
        <w:gridCol w:w="75"/>
      </w:tblGrid>
      <w:tr>
        <w:trPr/>
        <w:tc>
          <w:tcPr>
            <w:tcW w:w="75" w:type="dxa"/>
            <w:tcBorders/>
            <w:vAlign w:val="center"/>
          </w:tcPr>
          <w:p>
            <w:pPr>
              <w:pStyle w:val="TableContents"/>
              <w:bidi w:val="0"/>
              <w:spacing w:before="0" w:after="283"/>
              <w:jc w:val="left"/>
              <w:rPr/>
            </w:pPr>
            <w:r>
              <w:rPr/>
              <w:t> </w:t>
            </w:r>
          </w:p>
        </w:tc>
        <w:tc>
          <w:tcPr>
            <w:tcW w:w="4080" w:type="dxa"/>
            <w:gridSpan w:val="3"/>
            <w:tcBorders/>
            <w:vAlign w:val="center"/>
          </w:tcPr>
          <w:p>
            <w:pPr>
              <w:pStyle w:val="TableContents"/>
              <w:bidi w:val="0"/>
              <w:spacing w:before="0" w:after="283"/>
              <w:jc w:val="left"/>
              <w:rPr>
                <w:b/>
                <w:sz w:val="20"/>
              </w:rPr>
            </w:pPr>
            <w:r>
              <w:rPr>
                <w:b/>
                <w:sz w:val="20"/>
              </w:rPr>
              <w:t>GAP COINVESTMENTS CDA,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272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20"/>
              </w:rPr>
            </w:pPr>
            <w:r>
              <w:rPr>
                <w:sz w:val="20"/>
              </w:rPr>
              <w:t>By:</w:t>
            </w:r>
          </w:p>
        </w:tc>
        <w:tc>
          <w:tcPr>
            <w:tcW w:w="3679" w:type="dxa"/>
            <w:gridSpan w:val="2"/>
            <w:tcBorders/>
            <w:vAlign w:val="center"/>
          </w:tcPr>
          <w:p>
            <w:pPr>
              <w:pStyle w:val="TableContents"/>
              <w:bidi w:val="0"/>
              <w:spacing w:before="0" w:after="283"/>
              <w:jc w:val="left"/>
              <w:rPr>
                <w:sz w:val="20"/>
              </w:rPr>
            </w:pPr>
            <w:r>
              <w:rPr>
                <w:sz w:val="20"/>
              </w:rPr>
              <w:t>GENERAL ATLANTIC, L.P., its sole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272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sz w:val="20"/>
              </w:rPr>
            </w:pPr>
            <w:r>
              <w:rPr>
                <w:sz w:val="20"/>
              </w:rPr>
              <w:t>By:</w:t>
            </w:r>
          </w:p>
        </w:tc>
        <w:tc>
          <w:tcPr>
            <w:tcW w:w="367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20"/>
              </w:rPr>
            </w:pPr>
            <w:r>
              <w:rPr>
                <w:sz w:val="20"/>
              </w:rPr>
              <w:t>Name:</w:t>
            </w:r>
          </w:p>
        </w:tc>
        <w:tc>
          <w:tcPr>
            <w:tcW w:w="2729"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20"/>
              </w:rPr>
            </w:pPr>
            <w:r>
              <w:rPr>
                <w:sz w:val="20"/>
              </w:rPr>
              <w:t>Title:</w:t>
            </w:r>
          </w:p>
        </w:tc>
        <w:tc>
          <w:tcPr>
            <w:tcW w:w="2729"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114" w:type="dxa"/>
        <w:jc w:val="left"/>
        <w:tblInd w:w="0" w:type="dxa"/>
        <w:tblLayout w:type="fixed"/>
        <w:tblCellMar>
          <w:top w:w="0" w:type="dxa"/>
          <w:left w:w="0" w:type="dxa"/>
          <w:bottom w:w="0" w:type="dxa"/>
          <w:right w:w="0" w:type="dxa"/>
        </w:tblCellMar>
      </w:tblPr>
      <w:tblGrid>
        <w:gridCol w:w="75"/>
        <w:gridCol w:w="551"/>
        <w:gridCol w:w="823"/>
        <w:gridCol w:w="2590"/>
        <w:gridCol w:w="75"/>
      </w:tblGrid>
      <w:tr>
        <w:trPr/>
        <w:tc>
          <w:tcPr>
            <w:tcW w:w="75" w:type="dxa"/>
            <w:tcBorders/>
            <w:vAlign w:val="center"/>
          </w:tcPr>
          <w:p>
            <w:pPr>
              <w:pStyle w:val="TableContents"/>
              <w:bidi w:val="0"/>
              <w:spacing w:before="0" w:after="283"/>
              <w:jc w:val="left"/>
              <w:rPr/>
            </w:pPr>
            <w:r>
              <w:rPr/>
              <w:t> </w:t>
            </w:r>
          </w:p>
        </w:tc>
        <w:tc>
          <w:tcPr>
            <w:tcW w:w="3964" w:type="dxa"/>
            <w:gridSpan w:val="3"/>
            <w:tcBorders/>
            <w:vAlign w:val="center"/>
          </w:tcPr>
          <w:p>
            <w:pPr>
              <w:pStyle w:val="TableContents"/>
              <w:bidi w:val="0"/>
              <w:spacing w:before="0" w:after="283"/>
              <w:jc w:val="left"/>
              <w:rPr>
                <w:b/>
                <w:sz w:val="20"/>
              </w:rPr>
            </w:pPr>
            <w:r>
              <w:rPr>
                <w:b/>
                <w:sz w:val="20"/>
              </w:rPr>
              <w:t>GENERAL ATLANTIC GENPAR (LUX) SCSp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sz w:val="20"/>
              </w:rPr>
            </w:pPr>
            <w:r>
              <w:rPr>
                <w:sz w:val="20"/>
              </w:rPr>
              <w:t>By:</w:t>
            </w:r>
          </w:p>
        </w:tc>
        <w:tc>
          <w:tcPr>
            <w:tcW w:w="3413" w:type="dxa"/>
            <w:gridSpan w:val="2"/>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ATLANTIC (LUX)</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S.À R.L.,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sz w:val="20"/>
              </w:rPr>
            </w:pPr>
            <w:r>
              <w:rPr>
                <w:sz w:val="20"/>
              </w:rPr>
              <w:t>By:</w:t>
            </w:r>
          </w:p>
        </w:tc>
        <w:tc>
          <w:tcPr>
            <w:tcW w:w="341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Ingrid van der Hoorn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sz w:val="20"/>
              </w:rPr>
            </w:pPr>
            <w:r>
              <w:rPr>
                <w:sz w:val="20"/>
              </w:rPr>
              <w:t>Name:</w:t>
            </w:r>
          </w:p>
        </w:tc>
        <w:tc>
          <w:tcPr>
            <w:tcW w:w="2590" w:type="dxa"/>
            <w:tcBorders/>
            <w:vAlign w:val="center"/>
          </w:tcPr>
          <w:p>
            <w:pPr>
              <w:pStyle w:val="TableContents"/>
              <w:bidi w:val="0"/>
              <w:spacing w:before="0" w:after="283"/>
              <w:jc w:val="left"/>
              <w:rPr>
                <w:sz w:val="20"/>
              </w:rPr>
            </w:pPr>
            <w:r>
              <w:rPr>
                <w:sz w:val="20"/>
              </w:rPr>
              <w:t>Ingrid van der Hoorn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sz w:val="20"/>
              </w:rPr>
            </w:pPr>
            <w:r>
              <w:rPr>
                <w:sz w:val="20"/>
              </w:rPr>
              <w:t xml:space="preserve">Title: </w:t>
            </w:r>
          </w:p>
        </w:tc>
        <w:tc>
          <w:tcPr>
            <w:tcW w:w="2590" w:type="dxa"/>
            <w:tcBorders/>
            <w:vAlign w:val="center"/>
          </w:tcPr>
          <w:p>
            <w:pPr>
              <w:pStyle w:val="TableContents"/>
              <w:bidi w:val="0"/>
              <w:spacing w:before="0" w:after="283"/>
              <w:jc w:val="left"/>
              <w:rPr>
                <w:sz w:val="20"/>
              </w:rPr>
            </w:pPr>
            <w:r>
              <w:rPr>
                <w:sz w:val="20"/>
              </w:rPr>
              <w:t>Manager 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left"/>
              <w:rPr/>
            </w:pPr>
            <w:r>
              <w:rPr/>
              <w:t> </w:t>
            </w:r>
          </w:p>
        </w:tc>
        <w:tc>
          <w:tcPr>
            <w:tcW w:w="25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sz w:val="20"/>
              </w:rPr>
            </w:pPr>
            <w:r>
              <w:rPr>
                <w:sz w:val="20"/>
              </w:rPr>
              <w:t xml:space="preserve">By: </w:t>
            </w:r>
          </w:p>
        </w:tc>
        <w:tc>
          <w:tcPr>
            <w:tcW w:w="341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William Blackwell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1"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Blackwell</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B</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421"/>
        <w:gridCol w:w="717"/>
        <w:gridCol w:w="2256"/>
        <w:gridCol w:w="75"/>
      </w:tblGrid>
      <w:tr>
        <w:trPr/>
        <w:tc>
          <w:tcPr>
            <w:tcW w:w="75" w:type="dxa"/>
            <w:tcBorders/>
            <w:vAlign w:val="center"/>
          </w:tcPr>
          <w:p>
            <w:pPr>
              <w:pStyle w:val="TableContents"/>
              <w:bidi w:val="0"/>
              <w:spacing w:before="0" w:after="283"/>
              <w:jc w:val="left"/>
              <w:rPr/>
            </w:pPr>
            <w:r>
              <w:rPr/>
              <w:t> </w:t>
            </w:r>
          </w:p>
        </w:tc>
        <w:tc>
          <w:tcPr>
            <w:tcW w:w="3394" w:type="dxa"/>
            <w:gridSpan w:val="3"/>
            <w:tcBorders/>
            <w:vAlign w:val="center"/>
          </w:tcPr>
          <w:p>
            <w:pPr>
              <w:pStyle w:val="TableContents"/>
              <w:bidi w:val="0"/>
              <w:spacing w:before="0" w:after="283"/>
              <w:jc w:val="left"/>
              <w:rPr>
                <w:b/>
                <w:sz w:val="20"/>
              </w:rPr>
            </w:pPr>
            <w:r>
              <w:rPr>
                <w:b/>
                <w:sz w:val="20"/>
              </w:rPr>
              <w:t>GENERAL ATLANTIC (LUX), S.A R.L.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225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sz w:val="20"/>
              </w:rPr>
            </w:pPr>
            <w:r>
              <w:rPr>
                <w:sz w:val="20"/>
              </w:rPr>
              <w:t>By:</w:t>
            </w:r>
          </w:p>
        </w:tc>
        <w:tc>
          <w:tcPr>
            <w:tcW w:w="29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Ingrid van der Hoorn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56"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Ingrid van der Hoorn</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225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sz w:val="20"/>
              </w:rPr>
            </w:pPr>
            <w:r>
              <w:rPr>
                <w:sz w:val="20"/>
              </w:rPr>
              <w:t>By:</w:t>
            </w:r>
          </w:p>
        </w:tc>
        <w:tc>
          <w:tcPr>
            <w:tcW w:w="297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William Blackwell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sz w:val="20"/>
              </w:rPr>
            </w:pPr>
            <w:r>
              <w:rPr>
                <w:sz w:val="20"/>
              </w:rPr>
              <w:t>Name:</w:t>
            </w:r>
          </w:p>
        </w:tc>
        <w:tc>
          <w:tcPr>
            <w:tcW w:w="2256" w:type="dxa"/>
            <w:tcBorders/>
            <w:vAlign w:val="center"/>
          </w:tcPr>
          <w:p>
            <w:pPr>
              <w:pStyle w:val="TableContents"/>
              <w:bidi w:val="0"/>
              <w:spacing w:before="0" w:after="283"/>
              <w:jc w:val="left"/>
              <w:rPr>
                <w:sz w:val="20"/>
              </w:rPr>
            </w:pPr>
            <w:r>
              <w:rPr>
                <w:sz w:val="20"/>
              </w:rPr>
              <w:t>William Blackwell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sz w:val="20"/>
              </w:rPr>
            </w:pPr>
            <w:r>
              <w:rPr>
                <w:sz w:val="20"/>
              </w:rPr>
              <w:t>Title:</w:t>
            </w:r>
          </w:p>
        </w:tc>
        <w:tc>
          <w:tcPr>
            <w:tcW w:w="2256" w:type="dxa"/>
            <w:tcBorders/>
            <w:vAlign w:val="center"/>
          </w:tcPr>
          <w:p>
            <w:pPr>
              <w:pStyle w:val="TableContents"/>
              <w:bidi w:val="0"/>
              <w:spacing w:before="0" w:after="283"/>
              <w:jc w:val="left"/>
              <w:rPr>
                <w:sz w:val="20"/>
              </w:rPr>
            </w:pPr>
            <w:r>
              <w:rPr>
                <w:sz w:val="20"/>
              </w:rPr>
              <w:t>Manager B</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591"/>
        <w:gridCol w:w="1086"/>
        <w:gridCol w:w="3118"/>
        <w:gridCol w:w="75"/>
      </w:tblGrid>
      <w:tr>
        <w:trPr/>
        <w:tc>
          <w:tcPr>
            <w:tcW w:w="75" w:type="dxa"/>
            <w:tcBorders/>
            <w:vAlign w:val="center"/>
          </w:tcPr>
          <w:p>
            <w:pPr>
              <w:pStyle w:val="TableContents"/>
              <w:bidi w:val="0"/>
              <w:spacing w:before="0" w:after="283"/>
              <w:jc w:val="left"/>
              <w:rPr/>
            </w:pPr>
            <w:r>
              <w:rPr/>
              <w:t> </w:t>
            </w:r>
          </w:p>
        </w:tc>
        <w:tc>
          <w:tcPr>
            <w:tcW w:w="4795" w:type="dxa"/>
            <w:gridSpan w:val="3"/>
            <w:tcBorders/>
            <w:vAlign w:val="center"/>
          </w:tcPr>
          <w:p>
            <w:pPr>
              <w:pStyle w:val="TableContents"/>
              <w:bidi w:val="0"/>
              <w:spacing w:before="0" w:after="283"/>
              <w:jc w:val="left"/>
              <w:rPr>
                <w:b/>
                <w:sz w:val="20"/>
              </w:rPr>
            </w:pPr>
            <w:r>
              <w:rPr>
                <w:b/>
                <w:sz w:val="20"/>
              </w:rPr>
              <w:t>GENERAL ATLANTIC GENPAR (BERMUDA),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20"/>
              </w:rPr>
            </w:pPr>
            <w:r>
              <w:rPr>
                <w:sz w:val="20"/>
              </w:rPr>
              <w:t>By:</w:t>
            </w:r>
          </w:p>
        </w:tc>
        <w:tc>
          <w:tcPr>
            <w:tcW w:w="4204" w:type="dxa"/>
            <w:gridSpan w:val="2"/>
            <w:tcBorders/>
            <w:vAlign w:val="center"/>
          </w:tcPr>
          <w:p>
            <w:pPr>
              <w:pStyle w:val="TableContents"/>
              <w:bidi w:val="0"/>
              <w:spacing w:before="0" w:after="283"/>
              <w:jc w:val="left"/>
              <w:rPr>
                <w:sz w:val="20"/>
              </w:rPr>
            </w:pPr>
            <w:r>
              <w:rPr>
                <w:sz w:val="20"/>
              </w:rPr>
              <w:t xml:space="preserve">GAP (BERMUDA), L.P., its general partner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42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20"/>
              </w:rPr>
            </w:pPr>
            <w:r>
              <w:rPr>
                <w:sz w:val="20"/>
              </w:rPr>
              <w:t>By:</w:t>
            </w:r>
          </w:p>
        </w:tc>
        <w:tc>
          <w:tcPr>
            <w:tcW w:w="4204" w:type="dxa"/>
            <w:gridSpan w:val="2"/>
            <w:tcBorders/>
            <w:vAlign w:val="center"/>
          </w:tcPr>
          <w:p>
            <w:pPr>
              <w:pStyle w:val="TableContents"/>
              <w:bidi w:val="0"/>
              <w:spacing w:before="0" w:after="283"/>
              <w:jc w:val="left"/>
              <w:rPr>
                <w:sz w:val="20"/>
              </w:rPr>
            </w:pPr>
            <w:r>
              <w:rPr>
                <w:sz w:val="20"/>
              </w:rPr>
              <w:t>GAP (BERMUDA) GP LIMITED,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pPr>
            <w:r>
              <w:rPr/>
              <w:t> </w:t>
            </w:r>
          </w:p>
        </w:tc>
        <w:tc>
          <w:tcPr>
            <w:tcW w:w="31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20"/>
              </w:rPr>
            </w:pPr>
            <w:r>
              <w:rPr>
                <w:sz w:val="20"/>
              </w:rPr>
              <w:t>By:</w:t>
            </w:r>
          </w:p>
        </w:tc>
        <w:tc>
          <w:tcPr>
            <w:tcW w:w="420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sz w:val="20"/>
              </w:rPr>
            </w:pPr>
            <w:r>
              <w:rPr>
                <w:sz w:val="20"/>
              </w:rPr>
              <w:t>Name:</w:t>
            </w:r>
          </w:p>
        </w:tc>
        <w:tc>
          <w:tcPr>
            <w:tcW w:w="3118"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1086" w:type="dxa"/>
            <w:tcBorders/>
            <w:vAlign w:val="center"/>
          </w:tcPr>
          <w:p>
            <w:pPr>
              <w:pStyle w:val="TableContents"/>
              <w:bidi w:val="0"/>
              <w:spacing w:before="0" w:after="283"/>
              <w:jc w:val="left"/>
              <w:rPr>
                <w:sz w:val="20"/>
              </w:rPr>
            </w:pPr>
            <w:r>
              <w:rPr>
                <w:sz w:val="20"/>
              </w:rPr>
              <w:t>Title:</w:t>
            </w:r>
          </w:p>
        </w:tc>
        <w:tc>
          <w:tcPr>
            <w:tcW w:w="3118"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719" w:type="dxa"/>
        <w:jc w:val="left"/>
        <w:tblInd w:w="0" w:type="dxa"/>
        <w:tblLayout w:type="fixed"/>
        <w:tblCellMar>
          <w:top w:w="0" w:type="dxa"/>
          <w:left w:w="0" w:type="dxa"/>
          <w:bottom w:w="0" w:type="dxa"/>
          <w:right w:w="0" w:type="dxa"/>
        </w:tblCellMar>
      </w:tblPr>
      <w:tblGrid>
        <w:gridCol w:w="75"/>
        <w:gridCol w:w="320"/>
        <w:gridCol w:w="1097"/>
        <w:gridCol w:w="3152"/>
        <w:gridCol w:w="75"/>
      </w:tblGrid>
      <w:tr>
        <w:trPr/>
        <w:tc>
          <w:tcPr>
            <w:tcW w:w="75" w:type="dxa"/>
            <w:tcBorders/>
            <w:vAlign w:val="center"/>
          </w:tcPr>
          <w:p>
            <w:pPr>
              <w:pStyle w:val="TableContents"/>
              <w:bidi w:val="0"/>
              <w:spacing w:before="0" w:after="283"/>
              <w:jc w:val="left"/>
              <w:rPr/>
            </w:pPr>
            <w:r>
              <w:rPr/>
              <w:t> </w:t>
            </w:r>
          </w:p>
        </w:tc>
        <w:tc>
          <w:tcPr>
            <w:tcW w:w="4569" w:type="dxa"/>
            <w:gridSpan w:val="3"/>
            <w:tcBorders/>
            <w:vAlign w:val="center"/>
          </w:tcPr>
          <w:p>
            <w:pPr>
              <w:pStyle w:val="TableContents"/>
              <w:bidi w:val="0"/>
              <w:spacing w:before="0" w:after="283"/>
              <w:jc w:val="left"/>
              <w:rPr>
                <w:b/>
                <w:sz w:val="20"/>
              </w:rPr>
            </w:pPr>
            <w:r>
              <w:rPr>
                <w:b/>
                <w:sz w:val="20"/>
              </w:rPr>
              <w:t>GAP (BERMUDA)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49" w:type="dxa"/>
            <w:gridSpan w:val="2"/>
            <w:tcBorders/>
            <w:vAlign w:val="center"/>
          </w:tcPr>
          <w:p>
            <w:pPr>
              <w:pStyle w:val="TableContents"/>
              <w:bidi w:val="0"/>
              <w:spacing w:before="0" w:after="283"/>
              <w:jc w:val="left"/>
              <w:rPr>
                <w:sz w:val="20"/>
              </w:rPr>
            </w:pPr>
            <w:r>
              <w:rPr>
                <w:sz w:val="20"/>
              </w:rPr>
              <w:t xml:space="preserve">GAP (BERMUDA) GP LIMITED, its general partner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pPr>
            <w:r>
              <w:rPr/>
              <w:t> </w:t>
            </w:r>
          </w:p>
        </w:tc>
        <w:tc>
          <w:tcPr>
            <w:tcW w:w="315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4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sz w:val="20"/>
              </w:rPr>
            </w:pPr>
            <w:r>
              <w:rPr>
                <w:sz w:val="20"/>
              </w:rPr>
              <w:t>Name:</w:t>
            </w:r>
          </w:p>
        </w:tc>
        <w:tc>
          <w:tcPr>
            <w:tcW w:w="3152" w:type="dxa"/>
            <w:tcBorders/>
            <w:vAlign w:val="center"/>
          </w:tcPr>
          <w:p>
            <w:pPr>
              <w:pStyle w:val="TableContents"/>
              <w:bidi w:val="0"/>
              <w:spacing w:before="0" w:after="283"/>
              <w:jc w:val="left"/>
              <w:rPr>
                <w:sz w:val="20"/>
              </w:rPr>
            </w:pPr>
            <w:r>
              <w:rPr>
                <w:sz w:val="20"/>
              </w:rPr>
              <w:t>Michael Gosk</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sz w:val="20"/>
              </w:rPr>
            </w:pPr>
            <w:r>
              <w:rPr>
                <w:sz w:val="20"/>
              </w:rPr>
              <w:t>Title:</w:t>
            </w:r>
          </w:p>
        </w:tc>
        <w:tc>
          <w:tcPr>
            <w:tcW w:w="3152" w:type="dxa"/>
            <w:tcBorders/>
            <w:vAlign w:val="center"/>
          </w:tcPr>
          <w:p>
            <w:pPr>
              <w:pStyle w:val="TableContents"/>
              <w:bidi w:val="0"/>
              <w:spacing w:before="0" w:after="283"/>
              <w:jc w:val="left"/>
              <w:rPr>
                <w:sz w:val="20"/>
              </w:rPr>
            </w:pPr>
            <w:r>
              <w:rPr>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70" w:name="eh260793552_ex03.htm"/>
      <w:bookmarkStart w:id="71" w:name="kseh260793552_ex03"/>
      <w:bookmarkEnd w:id="70"/>
      <w:bookmarkEnd w:id="71"/>
      <w:r>
        <w:rPr>
          <w:b/>
        </w:rPr>
        <w:t>EXHIBIT 3</w:t>
      </w:r>
      <w:r>
        <w:br w:type="page"/>
      </w:r>
    </w:p>
    <w:p>
      <w:pPr>
        <w:pStyle w:val="TextBody"/>
        <w:bidi w:val="0"/>
        <w:jc w:val="right"/>
        <w:rPr/>
      </w:pPr>
      <w:r>
        <w:rPr/>
        <w: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Liftoff Mobile, Inc.</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Lock-Up Agreement </w:t>
      </w:r>
    </w:p>
    <w:p>
      <w:pPr>
        <w:pStyle w:val="TextBody"/>
        <w:bidi w:val="0"/>
        <w:spacing w:before="0" w:after="20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5,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Jefferies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extBody"/>
        <w:bidi w:val="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(the “Representatives”) of the several Underwriters</w:t>
      </w:r>
    </w:p>
    <w:p>
      <w:pPr>
        <w:pStyle w:val="TextBody"/>
        <w:bidi w:val="0"/>
        <w:ind w:left="28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I of the Underwriting Agreement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West Street</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10282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Jefferies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Madison Avenue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Morgan Stanley &amp; Co.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jc w:val="left"/>
        <w:rPr>
          <w:caps w:val="false"/>
          <w:smallCaps w:val="false"/>
        </w:rPr>
      </w:pPr>
      <w:r>
        <w:rPr>
          <w:caps w:val="false"/>
          <w:smallCaps w:val="false"/>
        </w:rPr>
        <w:t> </w:t>
      </w:r>
    </w:p>
    <w:p>
      <w:pPr>
        <w:pStyle w:val="TextBody"/>
        <w:bidi w:val="0"/>
        <w:spacing w:before="0" w:after="20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 xml:space="preserve">Liftoff Mobile, Inc. - Lock-Up Agreement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you, as representatives (the “Representatives”), propose to enter into an Underwriting Agreement (the “Underwriting Agreement”) on behalf of the several Underwriters named in Schedule I to such agreement (collectively, the “Underwriters”), with Liftoff Mobile, Inc., a Delaware corporation (the “Company”), and the Selling Stockholders named in Schedule II to such agreement, providing for a public offering (the “Offering”) of the common stock, par value $0.0001 per share (the “Common Stock”), of the Company (the “Shares”) pursuant to a Registration Statement on Form S-1 (the “Registration Statement”) to be filed with the Securities and Exchange Commission (the “SEC”).</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agreement by the Underwriters to offer and sell the Shares, and of other good and valuable consideration the receipt and sufficiency of which is hereby acknowledged, the undersigned agrees that, during the period beginning from the date of this agreement (the “Lock-Up Agreement”) and continuing to and including the date that is 180 days after the date set forth on the final prospectus used to sell the Shares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Securities”). The foregoing restriction is expressly agreed to preclude the undersigned from engaging in any hedging or other transaction which is designed to or which reasonably could be expected to lead to or result in a sale or disposition of the Undersigned’s Securities even if the Undersigned’s Securities would be disposed of by someone other than the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undersigned. Such prohibited hedging or other transactions would include without limitation any short sale or any purchase, sale or grant of any right (including without limitation any put or call option) with respect to any of the Undersigned’s Securities or with respect to any security that includes, relates to, or derives any significant part of its value from the Undersigned’s Securities.</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undersigned is an officer or director of the Company, (i) the Representatives agree that, at least three business days before the effective date of any release or waiver of the foregoing restrictions by any two Representatives, on behalf of the Underwriters, in connection with a transfer of shares of Common Stock, the Representatives will notify the Company of the impending release or waiver,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failure to provide such notice shall not give rise to any claim or liability against the Representatives or the Underwriters and (ii) if so notified, the Company has agreed in the Underwriting Agreement to announce the impending release or waiver by press release through a major news service at least two business days before the effective date of the release or waiver. Any release or waiver granted hereunder by any two Representatives, on behalf of the Underwriters,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any release or waiver of the foregoing restrictions in respect of shares of Common Stock held by an affiliate of Blackstone Inc., an affiliate of General Atlantic (LFT), L.P. and/or Mark Ellis, Phil Crosby or Harry Robertson, the Representatives agree that shares of Common Stock held by the undersigned shall be immediately, fully and irrevocably released in the same manner and on the same terms from any remaining restrictions on a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basis. The Representatives shall use commercially reasonable efforts to notify the undersigned within one business day of the occurrence of any such release or waiver.</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undersigned may transfer the Undersigned’s Securities:</w:t>
      </w:r>
    </w:p>
    <w:tbl>
      <w:tblPr>
        <w:tblW w:w="5000" w:type="pct"/>
        <w:jc w:val="left"/>
        <w:tblInd w:w="0" w:type="dxa"/>
        <w:tblLayout w:type="fixed"/>
        <w:tblCellMar>
          <w:top w:w="0" w:type="dxa"/>
          <w:left w:w="0" w:type="dxa"/>
          <w:bottom w:w="0" w:type="dxa"/>
          <w:right w:w="0" w:type="dxa"/>
        </w:tblCellMar>
      </w:tblPr>
      <w:tblGrid>
        <w:gridCol w:w="77"/>
        <w:gridCol w:w="470"/>
        <w:gridCol w:w="9658"/>
      </w:tblGrid>
      <w:tr>
        <w:trPr/>
        <w:tc>
          <w:tcPr>
            <w:tcW w:w="7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(i)</w:t>
            </w:r>
          </w:p>
        </w:tc>
        <w:tc>
          <w:tcPr>
            <w:tcW w:w="9658" w:type="dxa"/>
            <w:tcBorders/>
            <w:vAlign w:val="center"/>
          </w:tcPr>
          <w:p>
            <w:pPr>
              <w:pStyle w:val="TableContents"/>
              <w:bidi w:val="0"/>
              <w:spacing w:before="0" w:after="283"/>
              <w:jc w:val="left"/>
              <w:rPr/>
            </w:pPr>
            <w:r>
              <w:rPr/>
              <w:t>by will, other testamentary document or intestacy;</w:t>
            </w:r>
          </w:p>
        </w:tc>
      </w:tr>
    </w:tbl>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903" w:type="dxa"/>
            <w:tcBorders/>
            <w:vAlign w:val="center"/>
          </w:tcPr>
          <w:p>
            <w:pPr>
              <w:pStyle w:val="TableContents"/>
              <w:bidi w:val="0"/>
              <w:spacing w:before="0" w:after="283"/>
              <w:jc w:val="both"/>
              <w:rPr/>
            </w:pPr>
            <w:r>
              <w:rPr/>
              <w:t xml:space="preserve">as a </w:t>
            </w:r>
            <w:r>
              <w:rPr>
                <w:i/>
              </w:rPr>
              <w:t xml:space="preserve">bona fide </w:t>
            </w:r>
            <w:r>
              <w:rPr/>
              <w:t>gift or gifts, or for bona fide estate planning purposes, including without limitation to charitable organizations or educational institutions;</w:t>
            </w:r>
          </w:p>
        </w:tc>
      </w:tr>
    </w:tbl>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(iii)</w:t>
            </w:r>
          </w:p>
        </w:tc>
        <w:tc>
          <w:tcPr>
            <w:tcW w:w="9867" w:type="dxa"/>
            <w:tcBorders/>
            <w:vAlign w:val="center"/>
          </w:tcPr>
          <w:p>
            <w:pPr>
              <w:pStyle w:val="TableContents"/>
              <w:bidi w:val="0"/>
              <w:spacing w:before="0" w:after="283"/>
              <w:jc w:val="both"/>
              <w:rPr/>
            </w:pPr>
            <w:r>
              <w:rPr/>
              <w:t>to any trust, partnership, limited liability company or other entity for the direct or indirect benefit of the undersigned or the immediate family of the undersigned, or if the undersigned is a trust, to a trustor or beneficiary of the trust or to the estate of a beneficiary of such trust;</w:t>
            </w:r>
          </w:p>
        </w:tc>
      </w:tr>
    </w:tbl>
    <w:tbl>
      <w:tblPr>
        <w:tblW w:w="5000" w:type="pct"/>
        <w:jc w:val="left"/>
        <w:tblInd w:w="0" w:type="dxa"/>
        <w:tblLayout w:type="fixed"/>
        <w:tblCellMar>
          <w:top w:w="0" w:type="dxa"/>
          <w:left w:w="0" w:type="dxa"/>
          <w:bottom w:w="0" w:type="dxa"/>
          <w:right w:w="0" w:type="dxa"/>
        </w:tblCellMar>
      </w:tblPr>
      <w:tblGrid>
        <w:gridCol w:w="53"/>
        <w:gridCol w:w="494"/>
        <w:gridCol w:w="9658"/>
      </w:tblGrid>
      <w:tr>
        <w:trPr/>
        <w:tc>
          <w:tcPr>
            <w:tcW w:w="5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(iv)</w:t>
            </w:r>
          </w:p>
        </w:tc>
        <w:tc>
          <w:tcPr>
            <w:tcW w:w="9658" w:type="dxa"/>
            <w:tcBorders/>
            <w:vAlign w:val="center"/>
          </w:tcPr>
          <w:p>
            <w:pPr>
              <w:pStyle w:val="TableContents"/>
              <w:bidi w:val="0"/>
              <w:spacing w:before="0" w:after="283"/>
              <w:jc w:val="both"/>
              <w:rPr/>
            </w:pPr>
            <w:r>
              <w:rPr/>
              <w:t>to any immediate family member or other dependent of the undersigned;</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(v)</w:t>
            </w:r>
          </w:p>
        </w:tc>
        <w:tc>
          <w:tcPr>
            <w:tcW w:w="9939" w:type="dxa"/>
            <w:tcBorders/>
            <w:vAlign w:val="center"/>
          </w:tcPr>
          <w:p>
            <w:pPr>
              <w:pStyle w:val="TableContents"/>
              <w:bidi w:val="0"/>
              <w:spacing w:before="0" w:after="283"/>
              <w:jc w:val="both"/>
              <w:rPr/>
            </w:pPr>
            <w:r>
              <w:rPr/>
              <w:t>as a distribution, transfer or disposition to limited partners, members, stockholders or other equity holders of the undersigned or its affiliates (including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w:t>
            </w:r>
          </w:p>
        </w:tc>
      </w:tr>
    </w:tbl>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(vi)</w:t>
            </w:r>
          </w:p>
        </w:tc>
        <w:tc>
          <w:tcPr>
            <w:tcW w:w="9879" w:type="dxa"/>
            <w:tcBorders/>
            <w:vAlign w:val="center"/>
          </w:tcPr>
          <w:p>
            <w:pPr>
              <w:pStyle w:val="TableContents"/>
              <w:bidi w:val="0"/>
              <w:spacing w:before="0" w:after="283"/>
              <w:jc w:val="both"/>
              <w:rPr/>
            </w:pPr>
            <w:r>
              <w:rPr/>
              <w:t>to the undersigned’s affiliates (as defined in Rule 405 promulgated under the Securities Act of 1933, as amended) or to any investment fund or other entity controlling, controlled by, managed by or under common control, or common investment management, with the undersigned or affiliates of the undersigned (including, for the avoidance of doubt, where the undersigned is a partnership, to its general partner or a successor partnership or fund, or any other funds managed by such partnership);</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89"/>
        <w:gridCol w:w="9779"/>
      </w:tblGrid>
      <w:tr>
        <w:trPr/>
        <w:tc>
          <w:tcPr>
            <w:tcW w:w="3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(vii)</w:t>
            </w:r>
          </w:p>
        </w:tc>
        <w:tc>
          <w:tcPr>
            <w:tcW w:w="9779" w:type="dxa"/>
            <w:tcBorders/>
            <w:vAlign w:val="center"/>
          </w:tcPr>
          <w:p>
            <w:pPr>
              <w:pStyle w:val="TableContents"/>
              <w:bidi w:val="0"/>
              <w:spacing w:before="0" w:after="283"/>
              <w:jc w:val="both"/>
              <w:rPr/>
            </w:pPr>
            <w:r>
              <w:rPr/>
              <w:t>to a nominee or custodian of a person or entity to whom a disposition or transfer would be permissible under clauses (i) through (vi) above;</w:t>
            </w:r>
          </w:p>
        </w:tc>
      </w:tr>
    </w:tbl>
    <w:tbl>
      <w:tblPr>
        <w:tblW w:w="5000" w:type="pct"/>
        <w:jc w:val="left"/>
        <w:tblInd w:w="0" w:type="dxa"/>
        <w:tblLayout w:type="fixed"/>
        <w:tblCellMar>
          <w:top w:w="0" w:type="dxa"/>
          <w:left w:w="0" w:type="dxa"/>
          <w:bottom w:w="0" w:type="dxa"/>
          <w:right w:w="0" w:type="dxa"/>
        </w:tblCellMar>
      </w:tblPr>
      <w:tblGrid>
        <w:gridCol w:w="37"/>
        <w:gridCol w:w="433"/>
        <w:gridCol w:w="9735"/>
      </w:tblGrid>
      <w:tr>
        <w:trPr/>
        <w:tc>
          <w:tcPr>
            <w:tcW w:w="3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(viii)</w:t>
            </w:r>
          </w:p>
        </w:tc>
        <w:tc>
          <w:tcPr>
            <w:tcW w:w="9735" w:type="dxa"/>
            <w:tcBorders/>
            <w:vAlign w:val="center"/>
          </w:tcPr>
          <w:p>
            <w:pPr>
              <w:pStyle w:val="TableContents"/>
              <w:bidi w:val="0"/>
              <w:spacing w:before="0" w:after="283"/>
              <w:jc w:val="both"/>
              <w:rPr/>
            </w:pPr>
            <w:r>
              <w:rPr/>
              <w:t>by operation of law, including pursuant to an order of a court (including a final domestic order, divorce settlement, divorce decree or separation agreement or other order) or regulatory agency;</w:t>
            </w:r>
          </w:p>
        </w:tc>
      </w:tr>
    </w:tbl>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(ix)</w:t>
            </w:r>
          </w:p>
        </w:tc>
        <w:tc>
          <w:tcPr>
            <w:tcW w:w="9864" w:type="dxa"/>
            <w:tcBorders/>
            <w:vAlign w:val="center"/>
          </w:tcPr>
          <w:p>
            <w:pPr>
              <w:pStyle w:val="TableContents"/>
              <w:bidi w:val="0"/>
              <w:spacing w:before="0" w:after="283"/>
              <w:jc w:val="both"/>
              <w:rPr/>
            </w:pPr>
            <w:r>
              <w:rPr/>
              <w:t>to the Company from the undersigned upon death, disability or termination of employment, in each case, of the undersigned pursuant to any contractual arrangement that provides the Company with a right to purchase the Undersigned’s Securities;</w:t>
            </w:r>
          </w:p>
        </w:tc>
      </w:tr>
    </w:tbl>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(x)</w:t>
            </w:r>
          </w:p>
        </w:tc>
        <w:tc>
          <w:tcPr>
            <w:tcW w:w="9939" w:type="dxa"/>
            <w:tcBorders/>
            <w:vAlign w:val="center"/>
          </w:tcPr>
          <w:p>
            <w:pPr>
              <w:pStyle w:val="TableContents"/>
              <w:bidi w:val="0"/>
              <w:spacing w:before="0" w:after="283"/>
              <w:jc w:val="both"/>
              <w:rPr/>
            </w:pPr>
            <w:r>
              <w:rPr/>
              <w:t xml:space="preserve">in connection with transactions by any person other than the Company relating to Shares acquired in open market transactions after the completion of the Offering, </w:t>
            </w:r>
            <w:r>
              <w:rPr>
                <w:i/>
              </w:rPr>
              <w:t xml:space="preserve">provided that </w:t>
            </w:r>
            <w:r>
              <w:rPr/>
              <w:t>in the case of this clause (x) no public reports or filings (including filings under Section 16(a) of the Securities Exchange Act of 1934, as amended (the “Exchange Act”)) reporting a reduction in beneficial ownership of Common Stock shall be required or shall be voluntarily made during the Lock-Up Period or any extension thereof;</w:t>
            </w:r>
          </w:p>
        </w:tc>
      </w:tr>
    </w:tbl>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(xi)</w:t>
            </w:r>
          </w:p>
        </w:tc>
        <w:tc>
          <w:tcPr>
            <w:tcW w:w="9881" w:type="dxa"/>
            <w:tcBorders/>
            <w:vAlign w:val="center"/>
          </w:tcPr>
          <w:p>
            <w:pPr>
              <w:pStyle w:val="TableContents"/>
              <w:bidi w:val="0"/>
              <w:spacing w:before="0" w:after="283"/>
              <w:jc w:val="both"/>
              <w:rPr/>
            </w:pPr>
            <w:r>
              <w:rPr/>
              <w:t xml:space="preserve">to the Company pursuant to the “net” or “cashless” exercise at expiration of options, warrants or other rights to purchase shares of Common Stock of the Company granted pursuant to any employee equity incentive plan of the Company outstanding at or prior to the closing of the Offering and referred to in the Registration Statement, the Pricing Disclosure Package and the Prospectus (each, an “Incentive Plan”), </w:t>
            </w:r>
            <w:r>
              <w:rPr>
                <w:i/>
              </w:rPr>
              <w:t xml:space="preserve">provided that </w:t>
            </w:r>
            <w:r>
              <w:rPr/>
              <w:t>any shares of Common Stock received by the Undersigned in connection therewith shall be subject to the terms of this Lock-up Agreement;</w:t>
            </w:r>
          </w:p>
        </w:tc>
      </w:tr>
    </w:tbl>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(xii)</w:t>
            </w:r>
          </w:p>
        </w:tc>
        <w:tc>
          <w:tcPr>
            <w:tcW w:w="9820" w:type="dxa"/>
            <w:tcBorders/>
            <w:vAlign w:val="center"/>
          </w:tcPr>
          <w:p>
            <w:pPr>
              <w:pStyle w:val="TableContents"/>
              <w:bidi w:val="0"/>
              <w:spacing w:before="0" w:after="283"/>
              <w:jc w:val="both"/>
              <w:rPr/>
            </w:pPr>
            <w:r>
              <w:rPr/>
              <w:t xml:space="preserve">in respect of tax withholding payments (including estimated taxes) due upon the exercise at expiration of options or the vesting of any awards granted by the Company pursuant to any Incentive Plan of the Company (only to the extent the shares received upon such exercise or vesting are subject to the terms of this agreement), </w:t>
            </w:r>
            <w:r>
              <w:rPr>
                <w:i/>
              </w:rPr>
              <w:t xml:space="preserve">provided that </w:t>
            </w:r>
            <w:r>
              <w:rPr/>
              <w:t>any filings required to be made with the SEC or other publicity made regarding the same will indicate that such transactions relate to such tax withholding payments;</w:t>
            </w:r>
          </w:p>
        </w:tc>
      </w:tr>
    </w:tbl>
    <w:tbl>
      <w:tblPr>
        <w:tblW w:w="5000" w:type="pct"/>
        <w:jc w:val="left"/>
        <w:tblInd w:w="0" w:type="dxa"/>
        <w:tblLayout w:type="fixed"/>
        <w:tblCellMar>
          <w:top w:w="0" w:type="dxa"/>
          <w:left w:w="0" w:type="dxa"/>
          <w:bottom w:w="0" w:type="dxa"/>
          <w:right w:w="0" w:type="dxa"/>
        </w:tblCellMar>
      </w:tblPr>
      <w:tblGrid>
        <w:gridCol w:w="37"/>
        <w:gridCol w:w="401"/>
        <w:gridCol w:w="9767"/>
      </w:tblGrid>
      <w:tr>
        <w:trPr/>
        <w:tc>
          <w:tcPr>
            <w:tcW w:w="3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pPr>
            <w:r>
              <w:rPr/>
              <w:t>(xiii)</w:t>
            </w:r>
          </w:p>
        </w:tc>
        <w:tc>
          <w:tcPr>
            <w:tcW w:w="9767" w:type="dxa"/>
            <w:tcBorders/>
            <w:vAlign w:val="center"/>
          </w:tcPr>
          <w:p>
            <w:pPr>
              <w:pStyle w:val="TableContents"/>
              <w:bidi w:val="0"/>
              <w:spacing w:before="0" w:after="283"/>
              <w:jc w:val="both"/>
              <w:rPr/>
            </w:pPr>
            <w:r>
              <w:rPr/>
              <w:t xml:space="preserve">as any pledge, charge, hypothecation or other granting of a security interest in the Common Stock or as any security convertible into Common Stock to one or more banks, financial or other lending institutions (“Lenders”) as collateral or security for or in connection with any margin loan or other loans, advances or extensions of credit entered into by the undersigned or any of its direct or indirect subsidiaries and any transfers of such Common Stock or such other securities to the applicable Lender(s) or other third parties upon or following foreclosure upon or enforcement of such Common Stock or such securities in accordance with the terms of the documentation governing any margin loan or other loan, advance, or extension of credit (including, without limitation, pursuant to any agreement or arrangement existing as of the date hereof), </w:t>
            </w:r>
            <w:r>
              <w:rPr>
                <w:i/>
              </w:rPr>
              <w:t xml:space="preserve">provided that </w:t>
            </w:r>
            <w:r>
              <w:rPr/>
              <w:t>the undersigned or the Company, as the case may be, shall provide the Representatives prior written notice informing them of any public filing, report or announcement with respect to such pledge, hypothecation or other grant of a security interest;</w:t>
            </w:r>
          </w:p>
        </w:tc>
      </w:tr>
    </w:tbl>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(xiv)</w:t>
            </w:r>
          </w:p>
        </w:tc>
        <w:tc>
          <w:tcPr>
            <w:tcW w:w="9728" w:type="dxa"/>
            <w:tcBorders/>
            <w:vAlign w:val="center"/>
          </w:tcPr>
          <w:p>
            <w:pPr>
              <w:pStyle w:val="TableContents"/>
              <w:bidi w:val="0"/>
              <w:spacing w:before="0" w:after="283"/>
              <w:jc w:val="both"/>
              <w:rPr/>
            </w:pPr>
            <w:r>
              <w:rPr/>
              <w:t>in connection with the sale of the Undersigned’s Securities to be sold by the undersigned in the manner described in the final prospectus used to sell the Shares;</w:t>
            </w:r>
          </w:p>
        </w:tc>
      </w:tr>
    </w:tbl>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(xv)</w:t>
            </w:r>
          </w:p>
        </w:tc>
        <w:tc>
          <w:tcPr>
            <w:tcW w:w="9820" w:type="dxa"/>
            <w:tcBorders/>
            <w:vAlign w:val="center"/>
          </w:tcPr>
          <w:p>
            <w:pPr>
              <w:pStyle w:val="TableContents"/>
              <w:bidi w:val="0"/>
              <w:spacing w:before="0" w:after="283"/>
              <w:jc w:val="both"/>
              <w:rPr/>
            </w:pPr>
            <w:r>
              <w:rPr/>
              <w:t>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w:t>
            </w:r>
          </w:p>
        </w:tc>
      </w:tr>
    </w:tbl>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shares of capital stock if, after such transfer, such person or group of affiliated persons would hold at least a majority of the outstanding voting securities of the Company (or the surviving entity));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in the event that such tender offer, merger, consolidation or other similar transaction is not completed, the Undersigned’s Securities shall remain subject to the provisions of this Lock-Up Agreement; and/or</w:t>
      </w:r>
    </w:p>
    <w:tbl>
      <w:tblPr>
        <w:tblW w:w="5000" w:type="pct"/>
        <w:jc w:val="left"/>
        <w:tblInd w:w="0" w:type="dxa"/>
        <w:tblLayout w:type="fixed"/>
        <w:tblCellMar>
          <w:top w:w="0" w:type="dxa"/>
          <w:left w:w="0" w:type="dxa"/>
          <w:bottom w:w="0" w:type="dxa"/>
          <w:right w:w="0" w:type="dxa"/>
        </w:tblCellMar>
      </w:tblPr>
      <w:tblGrid>
        <w:gridCol w:w="37"/>
        <w:gridCol w:w="430"/>
        <w:gridCol w:w="9738"/>
      </w:tblGrid>
      <w:tr>
        <w:trPr/>
        <w:tc>
          <w:tcPr>
            <w:tcW w:w="3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(xvi)</w:t>
            </w:r>
          </w:p>
        </w:tc>
        <w:tc>
          <w:tcPr>
            <w:tcW w:w="9738" w:type="dxa"/>
            <w:tcBorders/>
            <w:vAlign w:val="center"/>
          </w:tcPr>
          <w:p>
            <w:pPr>
              <w:pStyle w:val="TableContents"/>
              <w:bidi w:val="0"/>
              <w:spacing w:before="0" w:after="283"/>
              <w:jc w:val="left"/>
              <w:rPr/>
            </w:pPr>
            <w:r>
              <w:rPr/>
              <w:t xml:space="preserve">with the prior written consent of any two Representatives, on behalf of the Underwriters; </w:t>
            </w:r>
            <w:r>
              <w:rPr>
                <w:i/>
              </w:rPr>
              <w:t xml:space="preserve">provided that </w:t>
            </w:r>
            <w:r>
              <w:rPr/>
              <w:t>the Company or undersigned shall also provide prior written notice to the other Representatives;</w:t>
            </w:r>
          </w:p>
        </w:tc>
      </w:tr>
    </w:tbl>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(a) in the case of each transfer or distribution pursuant to clauses (ii) through (viii) above, each donee, trustee, distributee or transferee, as the case may be, agrees to be bound in writing by the restrictions set forth herein (and, in the case of clause (viii), the undersigned shall use reasonable best efforts to cause the transferee to deliver to the Representatives a lock-up letter in the form of this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(2)</w:t>
            </w:r>
          </w:p>
        </w:tc>
        <w:tc>
          <w:tcPr>
            <w:tcW w:w="9942" w:type="dxa"/>
            <w:tcBorders/>
            <w:vAlign w:val="center"/>
          </w:tcPr>
          <w:p>
            <w:pPr>
              <w:pStyle w:val="TableContents"/>
              <w:bidi w:val="0"/>
              <w:spacing w:before="0" w:after="283"/>
              <w:jc w:val="both"/>
              <w:rPr/>
            </w:pPr>
            <w:r>
              <w:rPr/>
              <w:t>in the case of each transfer or distribution pursuant to clauses (ii) through (vii), if any public reports or filings (including filings under Section 16(a) of the Exchange Act) reporting a reduction in beneficial ownership of Common Stock shall be required or shall be voluntarily made during the Lock-Up Period or any extension thereof (a) the undersigned shall provide the Representatives prior written notice informing it of such report or filing and (b) such report or filing shall disclose that such donee, trustee, distributee or transferee, as the case may be, agrees to be bound in writing by the restrictions set forth herein; and</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both"/>
              <w:rPr/>
            </w:pPr>
            <w:r>
              <w:rPr/>
              <w:t>in the case of each transfer or distribution pursuant to clauses (viii) and (xii), if any public reports or filings (including filings under Section 16(a) of the Exchange Act) reporting a reduction in beneficial ownership of Common Stock shall be required or shall be voluntarily made during the Lock-Up Period or any extension thereof (a) the undersigned shall provide the Representatives prior written notice informing it of such report or filing and (b) such report or filing shall disclose that such transfer or distributions was made under the circumstances described in clause (viii) or (xii), as applicable.</w:t>
            </w:r>
          </w:p>
        </w:tc>
      </w:tr>
    </w:tbl>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clauses (1)(a) and 2(b) above shall not apply with respect to any transfer of shares of Common Stock to charitable organization transferees or recipients (including any direct or indirect member or partner of the undersigned that receives such shares of Common Stock pursuant to a distribution in-kind to such member or partner and is subject to restrictions requiring such shares of Common Stock to be transferred only to charitable organizations pursuant to clause (ii) above) in an aggregate amount, together with any such transfers by the undersigned and the undersigned’s affiliates pursuant to any substantially similar lock-up agreement with the Representatives, not to exceed 1.0% of the outstanding shares of Common Stock. For the avoidance of doubt, any transfer of shares of Common Stock to a charitable organization transferee or recipient that has agreed in writing to be bound by the same terms described in this Lock-Up Agreement to the extent and for the duration that such terms remain in effect at the time of the transfer shall not count towards the percentage in the preceding sentence.</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if the undersigned is a corporation, the corporation may transfer the Undersigned’s Securities to any wholly owned subsidiary of such corporation; provided, however, that in any such case, it shall be a condition to the transfer that the transferee execute an agreement stating that the transferee is</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receiving and holding such shares of Common Stock subject to the provisions of this Lock-Up Agreement and there shall be no further transfer of such shares of Common Stock except in accordance with this Lock-Up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described in this Lock-Up Agreement shall not apply to the establishment of a trading plan pursuant to Rule 10b5-1 under the Exchange Act,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(i) no transfers occur under such plan during the Lock-Up Period and (ii) no public announcement, filing or report under the Exchange Act shall be voluntarily made by any person in connection therewith during the Lock-Up Period (other than general disclosure in Company periodic reports to the effect that Company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Lock-Up Agreement, “immediate family” shall mean any relationship by blood, marriage or adoption, not more remote than first cousin.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restrictions described in this Lock-Up Agreement shall not apply to any reclassification or conversion of Shares,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such Shares shall be subject to the provisions of this Lock-Up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Lock-Up Agreement.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Any signature to this Lock-Up Agreement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Representatives and the other Underwriters have not provided any recommendation or investment advice nor have the Underwriters solicited any action from the undersigned with respect to the Offering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Lock-Up Agreement, and nothing set forth in such disclosures is intended to suggest that the Representatives or any Underwriter is making such a recommendation.</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(i) the Underwriting Agreement (other than the provisions which survive termination under the terms thereof) shall terminate or be terminated prior to payment for the delivery of the Shares to be sold thereunder, (ii) the Registration Statement is withdrawn by the Company, (iii) the Company notifies the Representatives (or the Representatives notify the Company) in writing that it does not intend to proceed with the Offering, or (iv) the Underwriting Agreement is not executed by June 30, 2026, the undersigned shall be released from all obligations under this Lock-Up Agreement and this Lock-Up Agreement shall be of no further effect.</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and any claim, controversy or dispute arising under or related to this Lock-Up Agreement shall be governed by and construed in accordance with the laws of the State of New York.</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p>
      <w:pPr>
        <w:pStyle w:val="TextBody"/>
        <w:bidi w:val="0"/>
        <w:spacing w:before="0" w:after="20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tbl>
      <w:tblPr>
        <w:tblW w:w="5581" w:type="dxa"/>
        <w:jc w:val="left"/>
        <w:tblInd w:w="0" w:type="dxa"/>
        <w:tblLayout w:type="fixed"/>
        <w:tblCellMar>
          <w:top w:w="0" w:type="dxa"/>
          <w:left w:w="0" w:type="dxa"/>
          <w:bottom w:w="0" w:type="dxa"/>
          <w:right w:w="0" w:type="dxa"/>
        </w:tblCellMar>
      </w:tblPr>
      <w:tblGrid>
        <w:gridCol w:w="75"/>
        <w:gridCol w:w="432"/>
        <w:gridCol w:w="1315"/>
        <w:gridCol w:w="3684"/>
        <w:gridCol w:w="75"/>
      </w:tblGrid>
      <w:tr>
        <w:trPr/>
        <w:tc>
          <w:tcPr>
            <w:tcW w:w="75" w:type="dxa"/>
            <w:tcBorders/>
            <w:vAlign w:val="center"/>
          </w:tcPr>
          <w:p>
            <w:pPr>
              <w:pStyle w:val="TableContents"/>
              <w:bidi w:val="0"/>
              <w:spacing w:before="0" w:after="283"/>
              <w:jc w:val="left"/>
              <w:rPr/>
            </w:pPr>
            <w:r>
              <w:rPr/>
              <w:t> </w:t>
            </w:r>
          </w:p>
        </w:tc>
        <w:tc>
          <w:tcPr>
            <w:tcW w:w="5431" w:type="dxa"/>
            <w:gridSpan w:val="3"/>
            <w:tcBorders/>
            <w:vAlign w:val="center"/>
          </w:tcPr>
          <w:p>
            <w:pPr>
              <w:pStyle w:val="TableContents"/>
              <w:bidi w:val="0"/>
              <w:spacing w:before="0" w:after="283"/>
              <w:jc w:val="left"/>
              <w:rPr/>
            </w:pPr>
            <w:r>
              <w:rPr/>
              <w:t>Very truly yours,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31" w:type="dxa"/>
            <w:gridSpan w:val="3"/>
            <w:tcBorders/>
            <w:vAlign w:val="center"/>
          </w:tcPr>
          <w:p>
            <w:pPr>
              <w:pStyle w:val="TableContents"/>
              <w:bidi w:val="0"/>
              <w:spacing w:before="0" w:after="283"/>
              <w:jc w:val="left"/>
              <w:rPr>
                <w:b/>
              </w:rPr>
            </w:pPr>
            <w:r>
              <w:rPr>
                <w:b/>
              </w:rPr>
              <w:t>General Atlantic (LFT),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xml:space="preserve">By: </w:t>
            </w:r>
          </w:p>
        </w:tc>
        <w:tc>
          <w:tcPr>
            <w:tcW w:w="4999" w:type="dxa"/>
            <w:gridSpan w:val="2"/>
            <w:tcBorders/>
            <w:vAlign w:val="center"/>
          </w:tcPr>
          <w:p>
            <w:pPr>
              <w:pStyle w:val="TableContents"/>
              <w:bidi w:val="0"/>
              <w:spacing w:before="0" w:after="283"/>
              <w:jc w:val="left"/>
              <w:rPr/>
            </w:pPr>
            <w:r>
              <w:rPr/>
              <w:t>General Atlantic (SPV) GP, LLC, 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36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4999" w:type="dxa"/>
            <w:gridSpan w:val="2"/>
            <w:tcBorders>
              <w:bottom w:val="single" w:sz="8" w:space="0" w:color="000000"/>
            </w:tcBorders>
            <w:tcMar>
              <w:bottom w:w="28" w:type="dxa"/>
            </w:tcMar>
            <w:vAlign w:val="center"/>
          </w:tcPr>
          <w:p>
            <w:pPr>
              <w:pStyle w:val="TableContents"/>
              <w:bidi w:val="0"/>
              <w:spacing w:before="0" w:after="283"/>
              <w:jc w:val="left"/>
              <w:rPr/>
            </w:pPr>
            <w:r>
              <w:rPr/>
              <w:t>/s/ D. Gordon Cruess</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Name:</w:t>
            </w:r>
          </w:p>
        </w:tc>
        <w:tc>
          <w:tcPr>
            <w:tcW w:w="3684" w:type="dxa"/>
            <w:tcBorders/>
            <w:vAlign w:val="center"/>
          </w:tcPr>
          <w:p>
            <w:pPr>
              <w:pStyle w:val="TableContents"/>
              <w:bidi w:val="0"/>
              <w:spacing w:before="0" w:after="283"/>
              <w:jc w:val="left"/>
              <w:rPr/>
            </w:pPr>
            <w:r>
              <w:rPr/>
              <w:t xml:space="preserve">D. Gordon Cruess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Title:</w:t>
            </w:r>
          </w:p>
        </w:tc>
        <w:tc>
          <w:tcPr>
            <w:tcW w:w="3684"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200"/>
        <w:jc w:val="left"/>
        <w:rPr>
          <w:caps w:val="false"/>
          <w:smallCaps w:val="false"/>
        </w:rPr>
      </w:pPr>
      <w:r>
        <w:rPr>
          <w:caps w:val="false"/>
          <w:smallCaps w:val="false"/>
        </w:rPr>
        <w:t> </w:t>
      </w:r>
    </w:p>
    <w:p>
      <w:pPr>
        <w:pStyle w:val="TextBody"/>
        <w:bidi w:val="0"/>
        <w:spacing w:before="0" w:after="283"/>
        <w:jc w:val="left"/>
        <w:rPr/>
      </w:pPr>
      <w:r>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8942</Words>
  <Characters>47024</Characters>
  <CharactersWithSpaces>55816</CharactersWithSpaces>
  <Paragraphs>1556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